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2EC8D"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b/>
          <w:bCs/>
          <w:kern w:val="0"/>
          <w14:ligatures w14:val="none"/>
        </w:rPr>
        <w:t>Title:</w:t>
      </w:r>
      <w:r w:rsidRPr="001D1590">
        <w:rPr>
          <w:rFonts w:ascii="Times New Roman" w:eastAsia="Times New Roman" w:hAnsi="Times New Roman" w:cs="Times New Roman"/>
          <w:kern w:val="0"/>
          <w14:ligatures w14:val="none"/>
        </w:rPr>
        <w:t xml:space="preserve"> Embodied Cognition and Narrative Expression: The Cognitive Impact of Bharatanatyam on Nonverbal Storytelling and Neuroplasticity</w:t>
      </w:r>
    </w:p>
    <w:p w14:paraId="2C49E478" w14:textId="6E500256"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b/>
          <w:bCs/>
          <w:kern w:val="0"/>
          <w14:ligatures w14:val="none"/>
        </w:rPr>
        <w:t>Author:</w:t>
      </w:r>
      <w:r w:rsidRPr="001D1590">
        <w:rPr>
          <w:rFonts w:ascii="Times New Roman" w:eastAsia="Times New Roman" w:hAnsi="Times New Roman" w:cs="Times New Roman"/>
          <w:kern w:val="0"/>
          <w14:ligatures w14:val="none"/>
        </w:rPr>
        <w:t xml:space="preserve"> </w:t>
      </w:r>
      <w:r w:rsidR="00F77572">
        <w:rPr>
          <w:rFonts w:ascii="Times New Roman" w:eastAsia="Times New Roman" w:hAnsi="Times New Roman" w:cs="Times New Roman"/>
          <w:kern w:val="0"/>
          <w14:ligatures w14:val="none"/>
        </w:rPr>
        <w:t>Sheryl</w:t>
      </w:r>
      <w:r w:rsidR="009B1911">
        <w:rPr>
          <w:rFonts w:ascii="Times New Roman" w:eastAsia="Times New Roman" w:hAnsi="Times New Roman" w:cs="Times New Roman"/>
          <w:kern w:val="0"/>
          <w14:ligatures w14:val="none"/>
        </w:rPr>
        <w:t xml:space="preserve"> Wadehra</w:t>
      </w:r>
      <w:r w:rsidRPr="001D1590">
        <w:rPr>
          <w:rFonts w:ascii="Times New Roman" w:eastAsia="Times New Roman" w:hAnsi="Times New Roman" w:cs="Times New Roman"/>
          <w:kern w:val="0"/>
          <w14:ligatures w14:val="none"/>
        </w:rPr>
        <w:br/>
      </w:r>
      <w:r w:rsidRPr="001D1590">
        <w:rPr>
          <w:rFonts w:ascii="Times New Roman" w:eastAsia="Times New Roman" w:hAnsi="Times New Roman" w:cs="Times New Roman"/>
          <w:b/>
          <w:bCs/>
          <w:kern w:val="0"/>
          <w14:ligatures w14:val="none"/>
        </w:rPr>
        <w:t>Affiliation:</w:t>
      </w:r>
      <w:r w:rsidRPr="001D1590">
        <w:rPr>
          <w:rFonts w:ascii="Times New Roman" w:eastAsia="Times New Roman" w:hAnsi="Times New Roman" w:cs="Times New Roman"/>
          <w:kern w:val="0"/>
          <w14:ligatures w14:val="none"/>
        </w:rPr>
        <w:t xml:space="preserve"> Independent Researc</w:t>
      </w:r>
      <w:r w:rsidR="00F77572">
        <w:rPr>
          <w:rFonts w:ascii="Times New Roman" w:eastAsia="Times New Roman" w:hAnsi="Times New Roman" w:cs="Times New Roman"/>
          <w:kern w:val="0"/>
          <w14:ligatures w14:val="none"/>
        </w:rPr>
        <w:t>her</w:t>
      </w:r>
      <w:r w:rsidRPr="001D1590">
        <w:rPr>
          <w:rFonts w:ascii="Times New Roman" w:eastAsia="Times New Roman" w:hAnsi="Times New Roman" w:cs="Times New Roman"/>
          <w:kern w:val="0"/>
          <w14:ligatures w14:val="none"/>
        </w:rPr>
        <w:br/>
      </w:r>
      <w:r w:rsidRPr="001D1590">
        <w:rPr>
          <w:rFonts w:ascii="Times New Roman" w:eastAsia="Times New Roman" w:hAnsi="Times New Roman" w:cs="Times New Roman"/>
          <w:b/>
          <w:bCs/>
          <w:kern w:val="0"/>
          <w14:ligatures w14:val="none"/>
        </w:rPr>
        <w:t>Keywords:</w:t>
      </w:r>
      <w:r w:rsidRPr="001D1590">
        <w:rPr>
          <w:rFonts w:ascii="Times New Roman" w:eastAsia="Times New Roman" w:hAnsi="Times New Roman" w:cs="Times New Roman"/>
          <w:kern w:val="0"/>
          <w14:ligatures w14:val="none"/>
        </w:rPr>
        <w:t xml:space="preserve"> Bharatanatyam, embodied cognition, neuroplasticity, nonverbal communication, dance, emotion, storytelling, Indian classical arts</w:t>
      </w:r>
    </w:p>
    <w:p w14:paraId="29CEA431"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3E31F962">
          <v:rect id="_x0000_i1025" alt="" style="width:468pt;height:.05pt;mso-width-percent:0;mso-height-percent:0;mso-width-percent:0;mso-height-percent:0" o:hralign="center" o:hrstd="t" o:hr="t" fillcolor="#a0a0a0" stroked="f"/>
        </w:pict>
      </w:r>
    </w:p>
    <w:p w14:paraId="777DA20C" w14:textId="77777777" w:rsidR="001D1590" w:rsidRPr="001D1590" w:rsidRDefault="001D1590" w:rsidP="001D15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D1590">
        <w:rPr>
          <w:rFonts w:ascii="Times New Roman" w:eastAsia="Times New Roman" w:hAnsi="Times New Roman" w:cs="Times New Roman"/>
          <w:b/>
          <w:bCs/>
          <w:kern w:val="0"/>
          <w:sz w:val="27"/>
          <w:szCs w:val="27"/>
          <w14:ligatures w14:val="none"/>
        </w:rPr>
        <w:t>Abstract</w:t>
      </w:r>
    </w:p>
    <w:p w14:paraId="392BE3B0" w14:textId="77777777" w:rsidR="008E4AD3" w:rsidRPr="008E4AD3" w:rsidRDefault="008E4AD3" w:rsidP="008E4AD3">
      <w:pPr>
        <w:spacing w:before="100" w:beforeAutospacing="1" w:after="100" w:afterAutospacing="1" w:line="240" w:lineRule="auto"/>
        <w:rPr>
          <w:rFonts w:ascii="Times New Roman" w:eastAsia="Times New Roman" w:hAnsi="Times New Roman" w:cs="Times New Roman"/>
          <w:kern w:val="0"/>
          <w14:ligatures w14:val="none"/>
        </w:rPr>
      </w:pPr>
      <w:r w:rsidRPr="008E4AD3">
        <w:rPr>
          <w:rFonts w:ascii="Times New Roman" w:eastAsia="Times New Roman" w:hAnsi="Times New Roman" w:cs="Times New Roman"/>
          <w:kern w:val="0"/>
          <w14:ligatures w14:val="none"/>
        </w:rPr>
        <w:t xml:space="preserve">This paper explores the cognitive and neurophysiological impact of Bharatanatyam—a South Indian classical dance—through the lens of embodied cognition and nonverbal storytelling. Drawing on research in cognitive science, neuroscience, and performance studies, it argues that Bharatanatyam functions as a dynamic system for emotional communication, memory encoding, and neural plasticity. As a multimodal language of movement, gesture, and expression, Bharatanatyam activates neural circuits associated with language, empathy, and spatial reasoning—particularly through its use of </w:t>
      </w:r>
      <w:r w:rsidRPr="008E4AD3">
        <w:rPr>
          <w:rFonts w:ascii="Times New Roman" w:eastAsia="Times New Roman" w:hAnsi="Times New Roman" w:cs="Times New Roman"/>
          <w:b/>
          <w:bCs/>
          <w:kern w:val="0"/>
          <w14:ligatures w14:val="none"/>
        </w:rPr>
        <w:t>mudras</w:t>
      </w:r>
      <w:r w:rsidRPr="008E4AD3">
        <w:rPr>
          <w:rFonts w:ascii="Times New Roman" w:eastAsia="Times New Roman" w:hAnsi="Times New Roman" w:cs="Times New Roman"/>
          <w:kern w:val="0"/>
          <w14:ligatures w14:val="none"/>
        </w:rPr>
        <w:t xml:space="preserve">, </w:t>
      </w:r>
      <w:r w:rsidRPr="008E4AD3">
        <w:rPr>
          <w:rFonts w:ascii="Times New Roman" w:eastAsia="Times New Roman" w:hAnsi="Times New Roman" w:cs="Times New Roman"/>
          <w:b/>
          <w:bCs/>
          <w:kern w:val="0"/>
          <w14:ligatures w14:val="none"/>
        </w:rPr>
        <w:t>abhinaya</w:t>
      </w:r>
      <w:r w:rsidRPr="008E4AD3">
        <w:rPr>
          <w:rFonts w:ascii="Times New Roman" w:eastAsia="Times New Roman" w:hAnsi="Times New Roman" w:cs="Times New Roman"/>
          <w:kern w:val="0"/>
          <w14:ligatures w14:val="none"/>
        </w:rPr>
        <w:t xml:space="preserve"> (expression), and rhythmic movement.</w:t>
      </w:r>
    </w:p>
    <w:p w14:paraId="63CAA503" w14:textId="77777777" w:rsidR="008E4AD3" w:rsidRPr="008E4AD3" w:rsidRDefault="008E4AD3" w:rsidP="008E4AD3">
      <w:pPr>
        <w:spacing w:before="100" w:beforeAutospacing="1" w:after="100" w:afterAutospacing="1" w:line="240" w:lineRule="auto"/>
        <w:rPr>
          <w:rFonts w:ascii="Times New Roman" w:eastAsia="Times New Roman" w:hAnsi="Times New Roman" w:cs="Times New Roman"/>
          <w:kern w:val="0"/>
          <w14:ligatures w14:val="none"/>
        </w:rPr>
      </w:pPr>
      <w:r w:rsidRPr="008E4AD3">
        <w:rPr>
          <w:rFonts w:ascii="Times New Roman" w:eastAsia="Times New Roman" w:hAnsi="Times New Roman" w:cs="Times New Roman"/>
          <w:kern w:val="0"/>
          <w14:ligatures w14:val="none"/>
        </w:rPr>
        <w:t xml:space="preserve">The analysis situates Bharatanatyam within embodied cognition frameworks, showing how its performative elements—such as </w:t>
      </w:r>
      <w:proofErr w:type="spellStart"/>
      <w:r w:rsidRPr="008E4AD3">
        <w:rPr>
          <w:rFonts w:ascii="Times New Roman" w:eastAsia="Times New Roman" w:hAnsi="Times New Roman" w:cs="Times New Roman"/>
          <w:b/>
          <w:bCs/>
          <w:kern w:val="0"/>
          <w14:ligatures w14:val="none"/>
        </w:rPr>
        <w:t>navarasa</w:t>
      </w:r>
      <w:proofErr w:type="spellEnd"/>
      <w:r w:rsidRPr="008E4AD3">
        <w:rPr>
          <w:rFonts w:ascii="Times New Roman" w:eastAsia="Times New Roman" w:hAnsi="Times New Roman" w:cs="Times New Roman"/>
          <w:kern w:val="0"/>
          <w14:ligatures w14:val="none"/>
        </w:rPr>
        <w:t xml:space="preserve"> (nine emotional states) and character-based storytelling—enhance affective flexibility, theory of mind, and social intelligence. Through repeated choreographic and improvisational practices, the dance stimulates sensorimotor coordination and bilateral neural integration, supporting long-term neuroplastic change.</w:t>
      </w:r>
    </w:p>
    <w:p w14:paraId="70294844" w14:textId="77777777" w:rsidR="008E4AD3" w:rsidRPr="008E4AD3" w:rsidRDefault="008E4AD3" w:rsidP="008E4AD3">
      <w:pPr>
        <w:spacing w:before="100" w:beforeAutospacing="1" w:after="100" w:afterAutospacing="1" w:line="240" w:lineRule="auto"/>
        <w:rPr>
          <w:rFonts w:ascii="Times New Roman" w:eastAsia="Times New Roman" w:hAnsi="Times New Roman" w:cs="Times New Roman"/>
          <w:kern w:val="0"/>
          <w14:ligatures w14:val="none"/>
        </w:rPr>
      </w:pPr>
      <w:r w:rsidRPr="008E4AD3">
        <w:rPr>
          <w:rFonts w:ascii="Times New Roman" w:eastAsia="Times New Roman" w:hAnsi="Times New Roman" w:cs="Times New Roman"/>
          <w:kern w:val="0"/>
          <w14:ligatures w14:val="none"/>
        </w:rPr>
        <w:t>Combining theoretical inquiry with autoethnographic reflection, the paper further examines how Bharatanatyam reshapes the performer’s perceptual and cognitive landscape. This lived experience reveals the dance’s capacity to develop narrative intelligence, pattern recognition, and emotional literacy—skills transferable across educational, artistic, and therapeutic domains.</w:t>
      </w:r>
    </w:p>
    <w:p w14:paraId="29BE93AE" w14:textId="145D6020" w:rsidR="001D1590" w:rsidRDefault="008E4AD3" w:rsidP="001D1590">
      <w:pPr>
        <w:spacing w:before="100" w:beforeAutospacing="1" w:after="100" w:afterAutospacing="1" w:line="240" w:lineRule="auto"/>
        <w:rPr>
          <w:rFonts w:ascii="Times New Roman" w:eastAsia="Times New Roman" w:hAnsi="Times New Roman" w:cs="Times New Roman"/>
          <w:kern w:val="0"/>
          <w14:ligatures w14:val="none"/>
        </w:rPr>
      </w:pPr>
      <w:r w:rsidRPr="008E4AD3">
        <w:rPr>
          <w:rFonts w:ascii="Times New Roman" w:eastAsia="Times New Roman" w:hAnsi="Times New Roman" w:cs="Times New Roman"/>
          <w:kern w:val="0"/>
          <w14:ligatures w14:val="none"/>
        </w:rPr>
        <w:t>Ultimately, this paper proposes Bharatanatyam as both a cultural and cognitive artifact: a performative technology that trains the mind through the body. Its implications span beyond the arts, suggesting applications in embodied pedagogy, trauma therapy, and cognitive training. By positioning Bharatanatyam within contemporary scientific discourse, the study invites interdisciplinary exploration and reaffirms the dance’s relevance to modern understandings of mind, body, and identity.</w:t>
      </w:r>
    </w:p>
    <w:p w14:paraId="48FBDDC6" w14:textId="77777777" w:rsidR="001729A0" w:rsidRPr="001D1590" w:rsidRDefault="001729A0" w:rsidP="001D1590">
      <w:pPr>
        <w:spacing w:before="100" w:beforeAutospacing="1" w:after="100" w:afterAutospacing="1" w:line="240" w:lineRule="auto"/>
        <w:rPr>
          <w:rFonts w:ascii="Times New Roman" w:eastAsia="Times New Roman" w:hAnsi="Times New Roman" w:cs="Times New Roman"/>
          <w:kern w:val="0"/>
          <w14:ligatures w14:val="none"/>
        </w:rPr>
      </w:pPr>
    </w:p>
    <w:p w14:paraId="0F3454A7"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1E390410">
          <v:rect id="_x0000_i1026" alt="" style="width:468pt;height:.05pt;mso-width-percent:0;mso-height-percent:0;mso-width-percent:0;mso-height-percent:0" o:hralign="center" o:hrstd="t" o:hr="t" fillcolor="#a0a0a0" stroked="f"/>
        </w:pict>
      </w:r>
    </w:p>
    <w:p w14:paraId="65A0475C" w14:textId="77777777" w:rsidR="001D1590" w:rsidRPr="001D1590" w:rsidRDefault="001D1590" w:rsidP="001D15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D1590">
        <w:rPr>
          <w:rFonts w:ascii="Times New Roman" w:eastAsia="Times New Roman" w:hAnsi="Times New Roman" w:cs="Times New Roman"/>
          <w:b/>
          <w:bCs/>
          <w:kern w:val="0"/>
          <w:sz w:val="27"/>
          <w:szCs w:val="27"/>
          <w14:ligatures w14:val="none"/>
        </w:rPr>
        <w:t>1. Introduction</w:t>
      </w:r>
    </w:p>
    <w:p w14:paraId="50DE7335"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lastRenderedPageBreak/>
        <w:t>Bharatanatyam is a South Indian classical dance form that has preserved and transmitted cultural, spiritual, and philosophical narratives for centuries. While traditionally analyzed through anthropological or aesthetic frameworks, its cognitive and neurological dimensions remain underexplored. This article situates Bharatanatyam within the paradigm of embodied cognition, arguing that the dance not only facilitates emotional and narrative expression but also activates and transforms neural pathways associated with emotion, memory, language, and attention.</w:t>
      </w:r>
    </w:p>
    <w:p w14:paraId="00F6897B"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From an interdisciplinary perspective, Bharatanatyam offers a rich case study of how art forms can act as cognitive technologies. This study engages theoretical research with autoethnographic insights to illustrate how long-term dance practice enhances neural integration, emotional regulation, and narrative intelligence. The work also explores implications for broader applications, including education, therapy, and cognitive science.</w:t>
      </w:r>
    </w:p>
    <w:p w14:paraId="0D04E344"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0C5D9D07">
          <v:rect id="_x0000_i1027" alt="" style="width:468pt;height:.05pt;mso-width-percent:0;mso-height-percent:0;mso-width-percent:0;mso-height-percent:0" o:hralign="center" o:hrstd="t" o:hr="t" fillcolor="#a0a0a0" stroked="f"/>
        </w:pict>
      </w:r>
    </w:p>
    <w:p w14:paraId="0F8F684C" w14:textId="77777777" w:rsidR="001D1590" w:rsidRPr="001D1590" w:rsidRDefault="001D1590" w:rsidP="001D15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D1590">
        <w:rPr>
          <w:rFonts w:ascii="Times New Roman" w:eastAsia="Times New Roman" w:hAnsi="Times New Roman" w:cs="Times New Roman"/>
          <w:b/>
          <w:bCs/>
          <w:kern w:val="0"/>
          <w:sz w:val="27"/>
          <w:szCs w:val="27"/>
          <w14:ligatures w14:val="none"/>
        </w:rPr>
        <w:t>2. Bharatanatyam as a Cognitive System</w:t>
      </w:r>
    </w:p>
    <w:p w14:paraId="0BA0DA41"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The dance form comprises four primary components—</w:t>
      </w:r>
      <w:proofErr w:type="spellStart"/>
      <w:r w:rsidRPr="001D1590">
        <w:rPr>
          <w:rFonts w:ascii="Times New Roman" w:eastAsia="Times New Roman" w:hAnsi="Times New Roman" w:cs="Times New Roman"/>
          <w:b/>
          <w:bCs/>
          <w:kern w:val="0"/>
          <w14:ligatures w14:val="none"/>
        </w:rPr>
        <w:t>nritta</w:t>
      </w:r>
      <w:proofErr w:type="spellEnd"/>
      <w:r w:rsidRPr="001D1590">
        <w:rPr>
          <w:rFonts w:ascii="Times New Roman" w:eastAsia="Times New Roman" w:hAnsi="Times New Roman" w:cs="Times New Roman"/>
          <w:kern w:val="0"/>
          <w14:ligatures w14:val="none"/>
        </w:rPr>
        <w:t xml:space="preserve"> (pure dance), </w:t>
      </w:r>
      <w:r w:rsidRPr="001D1590">
        <w:rPr>
          <w:rFonts w:ascii="Times New Roman" w:eastAsia="Times New Roman" w:hAnsi="Times New Roman" w:cs="Times New Roman"/>
          <w:b/>
          <w:bCs/>
          <w:kern w:val="0"/>
          <w14:ligatures w14:val="none"/>
        </w:rPr>
        <w:t>nritya</w:t>
      </w:r>
      <w:r w:rsidRPr="001D1590">
        <w:rPr>
          <w:rFonts w:ascii="Times New Roman" w:eastAsia="Times New Roman" w:hAnsi="Times New Roman" w:cs="Times New Roman"/>
          <w:kern w:val="0"/>
          <w14:ligatures w14:val="none"/>
        </w:rPr>
        <w:t xml:space="preserve"> (expressive dance), </w:t>
      </w:r>
      <w:proofErr w:type="spellStart"/>
      <w:r w:rsidRPr="001D1590">
        <w:rPr>
          <w:rFonts w:ascii="Times New Roman" w:eastAsia="Times New Roman" w:hAnsi="Times New Roman" w:cs="Times New Roman"/>
          <w:b/>
          <w:bCs/>
          <w:kern w:val="0"/>
          <w14:ligatures w14:val="none"/>
        </w:rPr>
        <w:t>natya</w:t>
      </w:r>
      <w:proofErr w:type="spellEnd"/>
      <w:r w:rsidRPr="001D1590">
        <w:rPr>
          <w:rFonts w:ascii="Times New Roman" w:eastAsia="Times New Roman" w:hAnsi="Times New Roman" w:cs="Times New Roman"/>
          <w:kern w:val="0"/>
          <w14:ligatures w14:val="none"/>
        </w:rPr>
        <w:t xml:space="preserve"> (dramatic storytelling), and </w:t>
      </w:r>
      <w:r w:rsidRPr="001D1590">
        <w:rPr>
          <w:rFonts w:ascii="Times New Roman" w:eastAsia="Times New Roman" w:hAnsi="Times New Roman" w:cs="Times New Roman"/>
          <w:b/>
          <w:bCs/>
          <w:kern w:val="0"/>
          <w14:ligatures w14:val="none"/>
        </w:rPr>
        <w:t>abhinaya</w:t>
      </w:r>
      <w:r w:rsidRPr="001D1590">
        <w:rPr>
          <w:rFonts w:ascii="Times New Roman" w:eastAsia="Times New Roman" w:hAnsi="Times New Roman" w:cs="Times New Roman"/>
          <w:kern w:val="0"/>
          <w14:ligatures w14:val="none"/>
        </w:rPr>
        <w:t xml:space="preserve"> (facial and gestural expression)—each engaging distinct cognitive </w:t>
      </w:r>
      <w:proofErr w:type="gramStart"/>
      <w:r w:rsidRPr="001D1590">
        <w:rPr>
          <w:rFonts w:ascii="Times New Roman" w:eastAsia="Times New Roman" w:hAnsi="Times New Roman" w:cs="Times New Roman"/>
          <w:kern w:val="0"/>
          <w14:ligatures w14:val="none"/>
        </w:rPr>
        <w:t>functions</w:t>
      </w:r>
      <w:proofErr w:type="gramEnd"/>
      <w:r w:rsidRPr="001D1590">
        <w:rPr>
          <w:rFonts w:ascii="Times New Roman" w:eastAsia="Times New Roman" w:hAnsi="Times New Roman" w:cs="Times New Roman"/>
          <w:kern w:val="0"/>
          <w14:ligatures w14:val="none"/>
        </w:rPr>
        <w:t xml:space="preserve">. </w:t>
      </w:r>
      <w:proofErr w:type="spellStart"/>
      <w:r w:rsidRPr="001D1590">
        <w:rPr>
          <w:rFonts w:ascii="Times New Roman" w:eastAsia="Times New Roman" w:hAnsi="Times New Roman" w:cs="Times New Roman"/>
          <w:b/>
          <w:bCs/>
          <w:kern w:val="0"/>
          <w14:ligatures w14:val="none"/>
        </w:rPr>
        <w:t>Adavus</w:t>
      </w:r>
      <w:proofErr w:type="spellEnd"/>
      <w:r w:rsidRPr="001D1590">
        <w:rPr>
          <w:rFonts w:ascii="Times New Roman" w:eastAsia="Times New Roman" w:hAnsi="Times New Roman" w:cs="Times New Roman"/>
          <w:kern w:val="0"/>
          <w14:ligatures w14:val="none"/>
        </w:rPr>
        <w:t xml:space="preserve"> (basic movement units) and rhythmic alignment with </w:t>
      </w:r>
      <w:r w:rsidRPr="001D1590">
        <w:rPr>
          <w:rFonts w:ascii="Times New Roman" w:eastAsia="Times New Roman" w:hAnsi="Times New Roman" w:cs="Times New Roman"/>
          <w:b/>
          <w:bCs/>
          <w:kern w:val="0"/>
          <w14:ligatures w14:val="none"/>
        </w:rPr>
        <w:t>tala</w:t>
      </w:r>
      <w:r w:rsidRPr="001D1590">
        <w:rPr>
          <w:rFonts w:ascii="Times New Roman" w:eastAsia="Times New Roman" w:hAnsi="Times New Roman" w:cs="Times New Roman"/>
          <w:kern w:val="0"/>
          <w14:ligatures w14:val="none"/>
        </w:rPr>
        <w:t xml:space="preserve"> (beats) stimulate auditory-motor synchrony and temporal processing. </w:t>
      </w:r>
      <w:r w:rsidRPr="001D1590">
        <w:rPr>
          <w:rFonts w:ascii="Times New Roman" w:eastAsia="Times New Roman" w:hAnsi="Times New Roman" w:cs="Times New Roman"/>
          <w:b/>
          <w:bCs/>
          <w:kern w:val="0"/>
          <w14:ligatures w14:val="none"/>
        </w:rPr>
        <w:t>Abhinaya</w:t>
      </w:r>
      <w:r w:rsidRPr="001D1590">
        <w:rPr>
          <w:rFonts w:ascii="Times New Roman" w:eastAsia="Times New Roman" w:hAnsi="Times New Roman" w:cs="Times New Roman"/>
          <w:kern w:val="0"/>
          <w14:ligatures w14:val="none"/>
        </w:rPr>
        <w:t xml:space="preserve"> engages emotional and social cognition, often paralleling the functions of language.</w:t>
      </w:r>
    </w:p>
    <w:p w14:paraId="34E1B902"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From a cognitive neuroscience perspective, these integrated practices can be seen as activating diverse brain regions, including the motor cortex, cerebellum, basal ganglia, and prefrontal cortex. Their interrelation builds a robust foundation for procedural memory, motor learning, and symbolic interpretation, which support not just performance fluency but long-term cognitive development.</w:t>
      </w:r>
    </w:p>
    <w:p w14:paraId="52834533"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7E5DC665">
          <v:rect id="_x0000_i1028" alt="" style="width:468pt;height:.05pt;mso-width-percent:0;mso-height-percent:0;mso-width-percent:0;mso-height-percent:0" o:hralign="center" o:hrstd="t" o:hr="t" fillcolor="#a0a0a0" stroked="f"/>
        </w:pict>
      </w:r>
    </w:p>
    <w:p w14:paraId="110291F4" w14:textId="77777777" w:rsidR="001D1590" w:rsidRPr="001D1590" w:rsidRDefault="001D1590" w:rsidP="001D15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D1590">
        <w:rPr>
          <w:rFonts w:ascii="Times New Roman" w:eastAsia="Times New Roman" w:hAnsi="Times New Roman" w:cs="Times New Roman"/>
          <w:b/>
          <w:bCs/>
          <w:kern w:val="0"/>
          <w:sz w:val="27"/>
          <w:szCs w:val="27"/>
          <w14:ligatures w14:val="none"/>
        </w:rPr>
        <w:t>3. Gesture as Language: The Semiotic Structure of Bharatanatyam</w:t>
      </w:r>
    </w:p>
    <w:p w14:paraId="2AA60653"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 xml:space="preserve">Bharatanatyam functions as a semiotic system wherein </w:t>
      </w:r>
      <w:r w:rsidRPr="001D1590">
        <w:rPr>
          <w:rFonts w:ascii="Times New Roman" w:eastAsia="Times New Roman" w:hAnsi="Times New Roman" w:cs="Times New Roman"/>
          <w:b/>
          <w:bCs/>
          <w:kern w:val="0"/>
          <w14:ligatures w14:val="none"/>
        </w:rPr>
        <w:t>mudras</w:t>
      </w:r>
      <w:r w:rsidRPr="001D1590">
        <w:rPr>
          <w:rFonts w:ascii="Times New Roman" w:eastAsia="Times New Roman" w:hAnsi="Times New Roman" w:cs="Times New Roman"/>
          <w:kern w:val="0"/>
          <w14:ligatures w14:val="none"/>
        </w:rPr>
        <w:t xml:space="preserve"> (hand gestures), </w:t>
      </w:r>
      <w:proofErr w:type="spellStart"/>
      <w:r w:rsidRPr="001D1590">
        <w:rPr>
          <w:rFonts w:ascii="Times New Roman" w:eastAsia="Times New Roman" w:hAnsi="Times New Roman" w:cs="Times New Roman"/>
          <w:b/>
          <w:bCs/>
          <w:kern w:val="0"/>
          <w14:ligatures w14:val="none"/>
        </w:rPr>
        <w:t>drishti</w:t>
      </w:r>
      <w:proofErr w:type="spellEnd"/>
      <w:r w:rsidRPr="001D1590">
        <w:rPr>
          <w:rFonts w:ascii="Times New Roman" w:eastAsia="Times New Roman" w:hAnsi="Times New Roman" w:cs="Times New Roman"/>
          <w:b/>
          <w:bCs/>
          <w:kern w:val="0"/>
          <w14:ligatures w14:val="none"/>
        </w:rPr>
        <w:t xml:space="preserve"> </w:t>
      </w:r>
      <w:proofErr w:type="spellStart"/>
      <w:r w:rsidRPr="001D1590">
        <w:rPr>
          <w:rFonts w:ascii="Times New Roman" w:eastAsia="Times New Roman" w:hAnsi="Times New Roman" w:cs="Times New Roman"/>
          <w:b/>
          <w:bCs/>
          <w:kern w:val="0"/>
          <w14:ligatures w14:val="none"/>
        </w:rPr>
        <w:t>bheda</w:t>
      </w:r>
      <w:proofErr w:type="spellEnd"/>
      <w:r w:rsidRPr="001D1590">
        <w:rPr>
          <w:rFonts w:ascii="Times New Roman" w:eastAsia="Times New Roman" w:hAnsi="Times New Roman" w:cs="Times New Roman"/>
          <w:kern w:val="0"/>
          <w14:ligatures w14:val="none"/>
        </w:rPr>
        <w:t xml:space="preserve"> (eye movement), and </w:t>
      </w:r>
      <w:proofErr w:type="spellStart"/>
      <w:r w:rsidRPr="001D1590">
        <w:rPr>
          <w:rFonts w:ascii="Times New Roman" w:eastAsia="Times New Roman" w:hAnsi="Times New Roman" w:cs="Times New Roman"/>
          <w:b/>
          <w:bCs/>
          <w:kern w:val="0"/>
          <w14:ligatures w14:val="none"/>
        </w:rPr>
        <w:t>anga</w:t>
      </w:r>
      <w:proofErr w:type="spellEnd"/>
      <w:r w:rsidRPr="001D1590">
        <w:rPr>
          <w:rFonts w:ascii="Times New Roman" w:eastAsia="Times New Roman" w:hAnsi="Times New Roman" w:cs="Times New Roman"/>
          <w:b/>
          <w:bCs/>
          <w:kern w:val="0"/>
          <w14:ligatures w14:val="none"/>
        </w:rPr>
        <w:t xml:space="preserve"> </w:t>
      </w:r>
      <w:proofErr w:type="spellStart"/>
      <w:r w:rsidRPr="001D1590">
        <w:rPr>
          <w:rFonts w:ascii="Times New Roman" w:eastAsia="Times New Roman" w:hAnsi="Times New Roman" w:cs="Times New Roman"/>
          <w:b/>
          <w:bCs/>
          <w:kern w:val="0"/>
          <w14:ligatures w14:val="none"/>
        </w:rPr>
        <w:t>shuddhi</w:t>
      </w:r>
      <w:proofErr w:type="spellEnd"/>
      <w:r w:rsidRPr="001D1590">
        <w:rPr>
          <w:rFonts w:ascii="Times New Roman" w:eastAsia="Times New Roman" w:hAnsi="Times New Roman" w:cs="Times New Roman"/>
          <w:kern w:val="0"/>
          <w14:ligatures w14:val="none"/>
        </w:rPr>
        <w:t xml:space="preserve"> (bodily integrity) create a visual lexicon. Research by McNeill (1992) and the mirror neuron hypothesis (Gallese, 2003) support the theory that gesture-based communication is deeply embedded in neural structures linked to language and empathy, including Broca’s area and the mirror neuron system.</w:t>
      </w:r>
    </w:p>
    <w:p w14:paraId="3E4D58F9"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This gestural lexicon in Bharatanatyam can be seen as analogous to syntax and semantics in spoken language. Each gesture, when contextualized within a phrase or narrative sequence, conveys complex meaning and emotional nuance. Such structure trains the brain to parse multimodal signals, improving cognitive flexibility and symbol interpretation—a phenomenon supported by embodied cognition frameworks (Wilson, 2002).</w:t>
      </w:r>
    </w:p>
    <w:p w14:paraId="385B127D"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6E90FB03">
          <v:rect id="_x0000_i1029" alt="" style="width:468pt;height:.05pt;mso-width-percent:0;mso-height-percent:0;mso-width-percent:0;mso-height-percent:0" o:hralign="center" o:hrstd="t" o:hr="t" fillcolor="#a0a0a0" stroked="f"/>
        </w:pict>
      </w:r>
    </w:p>
    <w:p w14:paraId="18E10A92" w14:textId="77777777" w:rsidR="001D1590" w:rsidRPr="001D1590" w:rsidRDefault="001D1590" w:rsidP="001D15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D1590">
        <w:rPr>
          <w:rFonts w:ascii="Times New Roman" w:eastAsia="Times New Roman" w:hAnsi="Times New Roman" w:cs="Times New Roman"/>
          <w:b/>
          <w:bCs/>
          <w:kern w:val="0"/>
          <w:sz w:val="27"/>
          <w:szCs w:val="27"/>
          <w14:ligatures w14:val="none"/>
        </w:rPr>
        <w:lastRenderedPageBreak/>
        <w:t>4. Embodied Cognition in Practice</w:t>
      </w:r>
    </w:p>
    <w:p w14:paraId="0C5F4F9F"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 xml:space="preserve">According to embodied cognition theories (Varela et al., 1991; Lakoff &amp; Johnson, 1999), cognition arises from the body's interaction with its environment. Bharatanatyam exemplifies this by fusing physical movement with narrative intention. The </w:t>
      </w:r>
      <w:proofErr w:type="spellStart"/>
      <w:r w:rsidRPr="001D1590">
        <w:rPr>
          <w:rFonts w:ascii="Times New Roman" w:eastAsia="Times New Roman" w:hAnsi="Times New Roman" w:cs="Times New Roman"/>
          <w:b/>
          <w:bCs/>
          <w:kern w:val="0"/>
          <w14:ligatures w14:val="none"/>
        </w:rPr>
        <w:t>Navarasa</w:t>
      </w:r>
      <w:proofErr w:type="spellEnd"/>
      <w:r w:rsidRPr="001D1590">
        <w:rPr>
          <w:rFonts w:ascii="Times New Roman" w:eastAsia="Times New Roman" w:hAnsi="Times New Roman" w:cs="Times New Roman"/>
          <w:kern w:val="0"/>
          <w14:ligatures w14:val="none"/>
        </w:rPr>
        <w:t>—a framework of nine emotional states—cultivates affective flexibility, contributing to emotional intelligence and autonomic regulation (Porges, 2011).</w:t>
      </w:r>
    </w:p>
    <w:p w14:paraId="3F7E2C4D"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 xml:space="preserve">Each </w:t>
      </w:r>
      <w:r w:rsidRPr="001D1590">
        <w:rPr>
          <w:rFonts w:ascii="Times New Roman" w:eastAsia="Times New Roman" w:hAnsi="Times New Roman" w:cs="Times New Roman"/>
          <w:b/>
          <w:bCs/>
          <w:kern w:val="0"/>
          <w14:ligatures w14:val="none"/>
        </w:rPr>
        <w:t>rasa</w:t>
      </w:r>
      <w:r w:rsidRPr="001D1590">
        <w:rPr>
          <w:rFonts w:ascii="Times New Roman" w:eastAsia="Times New Roman" w:hAnsi="Times New Roman" w:cs="Times New Roman"/>
          <w:kern w:val="0"/>
          <w14:ligatures w14:val="none"/>
        </w:rPr>
        <w:t xml:space="preserve"> (emotion) has a specific set of expressions, gestures, and postures that dancers internalize through repetition. This system provides a structured framework for training affective states, analogous to emotional conditioning, and supports regulation of the sympathetic and parasympathetic systems. Such integration of motor and affective training enhances the dancer’s capacity for emotional literacy and empathy.</w:t>
      </w:r>
    </w:p>
    <w:p w14:paraId="66765FE2"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4AFA98B3">
          <v:rect id="_x0000_i1030" alt="" style="width:468pt;height:.05pt;mso-width-percent:0;mso-height-percent:0;mso-width-percent:0;mso-height-percent:0" o:hralign="center" o:hrstd="t" o:hr="t" fillcolor="#a0a0a0" stroked="f"/>
        </w:pict>
      </w:r>
    </w:p>
    <w:p w14:paraId="6649601A" w14:textId="77777777" w:rsidR="001D1590" w:rsidRPr="001D1590" w:rsidRDefault="001D1590" w:rsidP="001D15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D1590">
        <w:rPr>
          <w:rFonts w:ascii="Times New Roman" w:eastAsia="Times New Roman" w:hAnsi="Times New Roman" w:cs="Times New Roman"/>
          <w:b/>
          <w:bCs/>
          <w:kern w:val="0"/>
          <w:sz w:val="27"/>
          <w:szCs w:val="27"/>
          <w14:ligatures w14:val="none"/>
        </w:rPr>
        <w:t>5. Neuroplasticity and Kinesthetic Learning</w:t>
      </w:r>
    </w:p>
    <w:p w14:paraId="27F8C114"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Dance has been shown to support neuroplastic change (</w:t>
      </w:r>
      <w:proofErr w:type="spellStart"/>
      <w:r w:rsidRPr="001D1590">
        <w:rPr>
          <w:rFonts w:ascii="Times New Roman" w:eastAsia="Times New Roman" w:hAnsi="Times New Roman" w:cs="Times New Roman"/>
          <w:kern w:val="0"/>
          <w14:ligatures w14:val="none"/>
        </w:rPr>
        <w:t>Kattenstroth</w:t>
      </w:r>
      <w:proofErr w:type="spellEnd"/>
      <w:r w:rsidRPr="001D1590">
        <w:rPr>
          <w:rFonts w:ascii="Times New Roman" w:eastAsia="Times New Roman" w:hAnsi="Times New Roman" w:cs="Times New Roman"/>
          <w:kern w:val="0"/>
          <w14:ligatures w14:val="none"/>
        </w:rPr>
        <w:t xml:space="preserve"> et al., 2010). Bharatanatyam enhances bilateral coordination, proprioception, and memory through iterative movement, choreographic adaptation, and improvisation. These practices strengthen inter-hemispheric communication and support higher-order thinking, including linguistic and spatial reasoning.</w:t>
      </w:r>
    </w:p>
    <w:p w14:paraId="0D13EADE"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Neuroimaging studies of dancers have shown increased connectivity in the corpus callosum and sensorimotor networks (</w:t>
      </w:r>
      <w:proofErr w:type="spellStart"/>
      <w:r w:rsidRPr="001D1590">
        <w:rPr>
          <w:rFonts w:ascii="Times New Roman" w:eastAsia="Times New Roman" w:hAnsi="Times New Roman" w:cs="Times New Roman"/>
          <w:kern w:val="0"/>
          <w14:ligatures w14:val="none"/>
        </w:rPr>
        <w:t>Hänggi</w:t>
      </w:r>
      <w:proofErr w:type="spellEnd"/>
      <w:r w:rsidRPr="001D1590">
        <w:rPr>
          <w:rFonts w:ascii="Times New Roman" w:eastAsia="Times New Roman" w:hAnsi="Times New Roman" w:cs="Times New Roman"/>
          <w:kern w:val="0"/>
          <w14:ligatures w14:val="none"/>
        </w:rPr>
        <w:t xml:space="preserve"> et al., 2010). Bharatanatyam’s rigorous demand on spatial awareness and rhythmic precision may yield similar results, making it a fertile domain for understanding embodied cognition, procedural memory, and multisensory integration.</w:t>
      </w:r>
    </w:p>
    <w:p w14:paraId="50260EE1"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0AC0F98D">
          <v:rect id="_x0000_i1031" alt="" style="width:468pt;height:.05pt;mso-width-percent:0;mso-height-percent:0;mso-width-percent:0;mso-height-percent:0" o:hralign="center" o:hrstd="t" o:hr="t" fillcolor="#a0a0a0" stroked="f"/>
        </w:pict>
      </w:r>
    </w:p>
    <w:p w14:paraId="5F15AB79" w14:textId="77777777" w:rsidR="001D1590" w:rsidRPr="001D1590" w:rsidRDefault="001D1590" w:rsidP="001D15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D1590">
        <w:rPr>
          <w:rFonts w:ascii="Times New Roman" w:eastAsia="Times New Roman" w:hAnsi="Times New Roman" w:cs="Times New Roman"/>
          <w:b/>
          <w:bCs/>
          <w:kern w:val="0"/>
          <w:sz w:val="27"/>
          <w:szCs w:val="27"/>
          <w14:ligatures w14:val="none"/>
        </w:rPr>
        <w:t>6. Narrative Intelligence through Nonverbal Expression</w:t>
      </w:r>
    </w:p>
    <w:p w14:paraId="5D6023B6"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 xml:space="preserve">Through </w:t>
      </w:r>
      <w:proofErr w:type="spellStart"/>
      <w:r w:rsidRPr="001D1590">
        <w:rPr>
          <w:rFonts w:ascii="Times New Roman" w:eastAsia="Times New Roman" w:hAnsi="Times New Roman" w:cs="Times New Roman"/>
          <w:b/>
          <w:bCs/>
          <w:kern w:val="0"/>
          <w14:ligatures w14:val="none"/>
        </w:rPr>
        <w:t>natya</w:t>
      </w:r>
      <w:proofErr w:type="spellEnd"/>
      <w:r w:rsidRPr="001D1590">
        <w:rPr>
          <w:rFonts w:ascii="Times New Roman" w:eastAsia="Times New Roman" w:hAnsi="Times New Roman" w:cs="Times New Roman"/>
          <w:kern w:val="0"/>
          <w14:ligatures w14:val="none"/>
        </w:rPr>
        <w:t xml:space="preserve"> and </w:t>
      </w:r>
      <w:r w:rsidRPr="001D1590">
        <w:rPr>
          <w:rFonts w:ascii="Times New Roman" w:eastAsia="Times New Roman" w:hAnsi="Times New Roman" w:cs="Times New Roman"/>
          <w:b/>
          <w:bCs/>
          <w:kern w:val="0"/>
          <w14:ligatures w14:val="none"/>
        </w:rPr>
        <w:t>nritya</w:t>
      </w:r>
      <w:r w:rsidRPr="001D1590">
        <w:rPr>
          <w:rFonts w:ascii="Times New Roman" w:eastAsia="Times New Roman" w:hAnsi="Times New Roman" w:cs="Times New Roman"/>
          <w:kern w:val="0"/>
          <w14:ligatures w14:val="none"/>
        </w:rPr>
        <w:t>, Bharatanatyam enables nonverbal narrative construction. Dancers engage in character embodiment, emotional arcs, and symbolic storytelling, stimulating theory of mind and enhancing narrative intelligence. These performances are not only acts of communication but also cognitive exercises in empathy and cultural literacy.</w:t>
      </w:r>
    </w:p>
    <w:p w14:paraId="4C46E664"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Storytelling in Bharatanatyam relies on symbolic transference through movement, requiring the audience to interpret nuanced emotional shifts. This mutual construction of meaning trains both performer and viewer in complex cognitive empathy. Longitudinal engagement with such practices may enhance brain structures responsible for episodic memory, identity processing, and narrative recall.</w:t>
      </w:r>
    </w:p>
    <w:p w14:paraId="57016C09"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283246A1">
          <v:rect id="_x0000_i1032" alt="" style="width:468pt;height:.05pt;mso-width-percent:0;mso-height-percent:0;mso-width-percent:0;mso-height-percent:0" o:hralign="center" o:hrstd="t" o:hr="t" fillcolor="#a0a0a0" stroked="f"/>
        </w:pict>
      </w:r>
    </w:p>
    <w:p w14:paraId="6C9A69B6" w14:textId="77777777" w:rsidR="001D1590" w:rsidRPr="001D1590" w:rsidRDefault="001D1590" w:rsidP="001D15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D1590">
        <w:rPr>
          <w:rFonts w:ascii="Times New Roman" w:eastAsia="Times New Roman" w:hAnsi="Times New Roman" w:cs="Times New Roman"/>
          <w:b/>
          <w:bCs/>
          <w:kern w:val="0"/>
          <w:sz w:val="27"/>
          <w:szCs w:val="27"/>
          <w14:ligatures w14:val="none"/>
        </w:rPr>
        <w:t>7. Rasa and Emotional Intelligence</w:t>
      </w:r>
    </w:p>
    <w:p w14:paraId="7AD66027"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lastRenderedPageBreak/>
        <w:t xml:space="preserve">The Rasa Theory from the </w:t>
      </w:r>
      <w:proofErr w:type="spellStart"/>
      <w:r w:rsidRPr="001D1590">
        <w:rPr>
          <w:rFonts w:ascii="Times New Roman" w:eastAsia="Times New Roman" w:hAnsi="Times New Roman" w:cs="Times New Roman"/>
          <w:i/>
          <w:iCs/>
          <w:kern w:val="0"/>
          <w14:ligatures w14:val="none"/>
        </w:rPr>
        <w:t>Nātyaśāstra</w:t>
      </w:r>
      <w:proofErr w:type="spellEnd"/>
      <w:r w:rsidRPr="001D1590">
        <w:rPr>
          <w:rFonts w:ascii="Times New Roman" w:eastAsia="Times New Roman" w:hAnsi="Times New Roman" w:cs="Times New Roman"/>
          <w:kern w:val="0"/>
          <w14:ligatures w14:val="none"/>
        </w:rPr>
        <w:t xml:space="preserve"> posits that performance aims to evoke distinct emotional flavors. Training in </w:t>
      </w:r>
      <w:r w:rsidRPr="001D1590">
        <w:rPr>
          <w:rFonts w:ascii="Times New Roman" w:eastAsia="Times New Roman" w:hAnsi="Times New Roman" w:cs="Times New Roman"/>
          <w:b/>
          <w:bCs/>
          <w:kern w:val="0"/>
          <w14:ligatures w14:val="none"/>
        </w:rPr>
        <w:t>abhinaya</w:t>
      </w:r>
      <w:r w:rsidRPr="001D1590">
        <w:rPr>
          <w:rFonts w:ascii="Times New Roman" w:eastAsia="Times New Roman" w:hAnsi="Times New Roman" w:cs="Times New Roman"/>
          <w:kern w:val="0"/>
          <w14:ligatures w14:val="none"/>
        </w:rPr>
        <w:t xml:space="preserve"> fosters precise emotional control and perception, enhancing emotional intelligence (Goleman, 1995). Dancers often develop nuanced social awareness and improved interpersonal communication.</w:t>
      </w:r>
    </w:p>
    <w:p w14:paraId="0D33ADE2"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Empirical studies have demonstrated a correlation between performance training and increased activation in brain regions related to emotional processing, such as the insula and orbitofrontal cortex (Koelsch et al., 2018). Bharatanatyam’s rasa framework encourages dancers to deeply engage with a full spectrum of emotions, creating embodied affective maps that heighten emotional discernment.</w:t>
      </w:r>
    </w:p>
    <w:p w14:paraId="12A2785E"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2BCC4F01">
          <v:rect id="_x0000_i1033" alt="" style="width:468pt;height:.05pt;mso-width-percent:0;mso-height-percent:0;mso-width-percent:0;mso-height-percent:0" o:hralign="center" o:hrstd="t" o:hr="t" fillcolor="#a0a0a0" stroked="f"/>
        </w:pict>
      </w:r>
    </w:p>
    <w:p w14:paraId="7DF069A3" w14:textId="77777777" w:rsidR="001D1590" w:rsidRPr="001D1590" w:rsidRDefault="001D1590" w:rsidP="001D15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D1590">
        <w:rPr>
          <w:rFonts w:ascii="Times New Roman" w:eastAsia="Times New Roman" w:hAnsi="Times New Roman" w:cs="Times New Roman"/>
          <w:b/>
          <w:bCs/>
          <w:kern w:val="0"/>
          <w:sz w:val="27"/>
          <w:szCs w:val="27"/>
          <w14:ligatures w14:val="none"/>
        </w:rPr>
        <w:t>8. Autoethnographic Insight: Embodied Transformation</w:t>
      </w:r>
    </w:p>
    <w:p w14:paraId="0B119AF6"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Personal reflections provide insight into the cognitive benefits of Bharatanatyam. Over time, embodied training shaped pattern recognition, kinesthetic learning, and emotional mapping. These skills translated into academic, artistic, and professional domains, offering a case study of embodied cognition in action.</w:t>
      </w:r>
    </w:p>
    <w:p w14:paraId="3D7295E0"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These transformations were observed in domains such as language fluency, memory retention, and emotional resilience. The sustained engagement with bodily metaphor and expressive form provided tools for articulating abstract ideas, navigating stress, and connecting cross-disciplinary knowledge.</w:t>
      </w:r>
    </w:p>
    <w:p w14:paraId="6FEC894A"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57FF9BE6">
          <v:rect id="_x0000_i1034" alt="" style="width:468pt;height:.05pt;mso-width-percent:0;mso-height-percent:0;mso-width-percent:0;mso-height-percent:0" o:hralign="center" o:hrstd="t" o:hr="t" fillcolor="#a0a0a0" stroked="f"/>
        </w:pict>
      </w:r>
    </w:p>
    <w:p w14:paraId="605BD0B2" w14:textId="77777777" w:rsidR="001D1590" w:rsidRPr="001D1590" w:rsidRDefault="001D1590" w:rsidP="001D15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D1590">
        <w:rPr>
          <w:rFonts w:ascii="Times New Roman" w:eastAsia="Times New Roman" w:hAnsi="Times New Roman" w:cs="Times New Roman"/>
          <w:b/>
          <w:bCs/>
          <w:kern w:val="0"/>
          <w:sz w:val="27"/>
          <w:szCs w:val="27"/>
          <w14:ligatures w14:val="none"/>
        </w:rPr>
        <w:t>9. Educational and Therapeutic Implications</w:t>
      </w:r>
    </w:p>
    <w:p w14:paraId="3D621D66"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The findings of this study have far-reaching implications in educational and therapeutic contexts. Bharatanatyam can be a powerful pedagogical tool for developing cognitive flexibility, body-mind integration, and emotional literacy in children and adults alike. Its structure provides a model for integrating cognitive training with creative expression, particularly in settings where traditional educational methods may not suffice.</w:t>
      </w:r>
    </w:p>
    <w:p w14:paraId="780E98A2" w14:textId="77777777" w:rsidR="001D1590" w:rsidRPr="001D1590" w:rsidRDefault="001D1590" w:rsidP="001D1590">
      <w:pPr>
        <w:spacing w:before="100" w:beforeAutospacing="1" w:after="100" w:afterAutospacing="1" w:line="240" w:lineRule="auto"/>
        <w:rPr>
          <w:rFonts w:ascii="Times New Roman" w:eastAsia="Times New Roman" w:hAnsi="Times New Roman" w:cs="Times New Roman"/>
          <w:kern w:val="0"/>
          <w14:ligatures w14:val="none"/>
        </w:rPr>
      </w:pPr>
      <w:r w:rsidRPr="001D1590">
        <w:rPr>
          <w:rFonts w:ascii="Times New Roman" w:eastAsia="Times New Roman" w:hAnsi="Times New Roman" w:cs="Times New Roman"/>
          <w:kern w:val="0"/>
          <w14:ligatures w14:val="none"/>
        </w:rPr>
        <w:t>Therapeutically, Bharatanatyam can support trauma recovery, autism spectrum intervention, and emotional regulation therapies. Movement-based practices that include narrative and affective expression have been shown to engage prefrontal-limbic pathways essential for emotional processing and healing.</w:t>
      </w:r>
    </w:p>
    <w:p w14:paraId="63028319" w14:textId="77777777" w:rsidR="001D1590" w:rsidRPr="001D1590" w:rsidRDefault="00F77572" w:rsidP="001D15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040CABC9">
          <v:rect id="_x0000_i1035" alt="" style="width:468pt;height:.05pt;mso-width-percent:0;mso-height-percent:0;mso-width-percent:0;mso-height-percent:0" o:hralign="center" o:hrstd="t" o:hr="t" fillcolor="#a0a0a0" stroked="f"/>
        </w:pict>
      </w:r>
    </w:p>
    <w:p w14:paraId="08C921F6" w14:textId="77777777" w:rsid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5C8E09D8" w14:textId="77777777" w:rsid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2A9DB365" w14:textId="501C7D02" w:rsidR="00CA1E5B" w:rsidRP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A1E5B">
        <w:rPr>
          <w:rFonts w:ascii="Times New Roman" w:eastAsia="Times New Roman" w:hAnsi="Times New Roman" w:cs="Times New Roman"/>
          <w:b/>
          <w:bCs/>
          <w:kern w:val="0"/>
          <w:sz w:val="27"/>
          <w:szCs w:val="27"/>
          <w14:ligatures w14:val="none"/>
        </w:rPr>
        <w:lastRenderedPageBreak/>
        <w:t>11. Mudras as Neurocognitive Tools</w:t>
      </w:r>
    </w:p>
    <w:p w14:paraId="7EF803D4"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Mudras in Bharatanatyam go beyond aesthetic gestures—they are cognitive symbols that activate multimodal neural networks. Each mudra, whether </w:t>
      </w:r>
      <w:proofErr w:type="spellStart"/>
      <w:r w:rsidRPr="00CA1E5B">
        <w:rPr>
          <w:rFonts w:ascii="Times New Roman" w:eastAsia="Times New Roman" w:hAnsi="Times New Roman" w:cs="Times New Roman"/>
          <w:b/>
          <w:bCs/>
          <w:kern w:val="0"/>
          <w14:ligatures w14:val="none"/>
        </w:rPr>
        <w:t>asamyukta</w:t>
      </w:r>
      <w:proofErr w:type="spellEnd"/>
      <w:r w:rsidRPr="00CA1E5B">
        <w:rPr>
          <w:rFonts w:ascii="Times New Roman" w:eastAsia="Times New Roman" w:hAnsi="Times New Roman" w:cs="Times New Roman"/>
          <w:b/>
          <w:bCs/>
          <w:kern w:val="0"/>
          <w14:ligatures w14:val="none"/>
        </w:rPr>
        <w:t xml:space="preserve"> hasta</w:t>
      </w:r>
      <w:r w:rsidRPr="00CA1E5B">
        <w:rPr>
          <w:rFonts w:ascii="Times New Roman" w:eastAsia="Times New Roman" w:hAnsi="Times New Roman" w:cs="Times New Roman"/>
          <w:kern w:val="0"/>
          <w14:ligatures w14:val="none"/>
        </w:rPr>
        <w:t xml:space="preserve"> (single-hand gestures) or </w:t>
      </w:r>
      <w:proofErr w:type="spellStart"/>
      <w:r w:rsidRPr="00CA1E5B">
        <w:rPr>
          <w:rFonts w:ascii="Times New Roman" w:eastAsia="Times New Roman" w:hAnsi="Times New Roman" w:cs="Times New Roman"/>
          <w:b/>
          <w:bCs/>
          <w:kern w:val="0"/>
          <w14:ligatures w14:val="none"/>
        </w:rPr>
        <w:t>samyukta</w:t>
      </w:r>
      <w:proofErr w:type="spellEnd"/>
      <w:r w:rsidRPr="00CA1E5B">
        <w:rPr>
          <w:rFonts w:ascii="Times New Roman" w:eastAsia="Times New Roman" w:hAnsi="Times New Roman" w:cs="Times New Roman"/>
          <w:b/>
          <w:bCs/>
          <w:kern w:val="0"/>
          <w14:ligatures w14:val="none"/>
        </w:rPr>
        <w:t xml:space="preserve"> hasta</w:t>
      </w:r>
      <w:r w:rsidRPr="00CA1E5B">
        <w:rPr>
          <w:rFonts w:ascii="Times New Roman" w:eastAsia="Times New Roman" w:hAnsi="Times New Roman" w:cs="Times New Roman"/>
          <w:kern w:val="0"/>
          <w14:ligatures w14:val="none"/>
        </w:rPr>
        <w:t xml:space="preserve"> (two-hand gestures), carries layered semantic content. For instance:</w:t>
      </w:r>
    </w:p>
    <w:p w14:paraId="0BB7C990" w14:textId="77777777" w:rsidR="00CA1E5B" w:rsidRPr="00CA1E5B" w:rsidRDefault="00CA1E5B" w:rsidP="00CA1E5B">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A1E5B">
        <w:rPr>
          <w:rFonts w:ascii="Times New Roman" w:eastAsia="Times New Roman" w:hAnsi="Times New Roman" w:cs="Times New Roman"/>
          <w:b/>
          <w:bCs/>
          <w:kern w:val="0"/>
          <w14:ligatures w14:val="none"/>
        </w:rPr>
        <w:t>Pataka</w:t>
      </w:r>
      <w:proofErr w:type="spellEnd"/>
      <w:r w:rsidRPr="00CA1E5B">
        <w:rPr>
          <w:rFonts w:ascii="Times New Roman" w:eastAsia="Times New Roman" w:hAnsi="Times New Roman" w:cs="Times New Roman"/>
          <w:kern w:val="0"/>
          <w14:ligatures w14:val="none"/>
        </w:rPr>
        <w:t xml:space="preserve"> (flag) can represent air, denial, or blessing.</w:t>
      </w:r>
    </w:p>
    <w:p w14:paraId="24BC625F" w14:textId="77777777" w:rsidR="00CA1E5B" w:rsidRPr="00CA1E5B" w:rsidRDefault="00CA1E5B" w:rsidP="00CA1E5B">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b/>
          <w:bCs/>
          <w:kern w:val="0"/>
          <w14:ligatures w14:val="none"/>
        </w:rPr>
        <w:t>Shikhara</w:t>
      </w:r>
      <w:r w:rsidRPr="00CA1E5B">
        <w:rPr>
          <w:rFonts w:ascii="Times New Roman" w:eastAsia="Times New Roman" w:hAnsi="Times New Roman" w:cs="Times New Roman"/>
          <w:kern w:val="0"/>
          <w14:ligatures w14:val="none"/>
        </w:rPr>
        <w:t xml:space="preserve"> (peak) symbolizes strength or a bow.</w:t>
      </w:r>
    </w:p>
    <w:p w14:paraId="6A168DCE" w14:textId="77777777" w:rsidR="00CA1E5B" w:rsidRPr="00CA1E5B" w:rsidRDefault="00CA1E5B" w:rsidP="00CA1E5B">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A1E5B">
        <w:rPr>
          <w:rFonts w:ascii="Times New Roman" w:eastAsia="Times New Roman" w:hAnsi="Times New Roman" w:cs="Times New Roman"/>
          <w:b/>
          <w:bCs/>
          <w:kern w:val="0"/>
          <w14:ligatures w14:val="none"/>
        </w:rPr>
        <w:t>Hamsasya</w:t>
      </w:r>
      <w:proofErr w:type="spellEnd"/>
      <w:r w:rsidRPr="00CA1E5B">
        <w:rPr>
          <w:rFonts w:ascii="Times New Roman" w:eastAsia="Times New Roman" w:hAnsi="Times New Roman" w:cs="Times New Roman"/>
          <w:kern w:val="0"/>
          <w14:ligatures w14:val="none"/>
        </w:rPr>
        <w:t xml:space="preserve"> (swan’s beak) can indicate delicacy or beauty.</w:t>
      </w:r>
    </w:p>
    <w:p w14:paraId="7E4B19FC"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From a neurological perspective, the articulation of mudras involves </w:t>
      </w:r>
      <w:r w:rsidRPr="00CA1E5B">
        <w:rPr>
          <w:rFonts w:ascii="Times New Roman" w:eastAsia="Times New Roman" w:hAnsi="Times New Roman" w:cs="Times New Roman"/>
          <w:b/>
          <w:bCs/>
          <w:kern w:val="0"/>
          <w14:ligatures w14:val="none"/>
        </w:rPr>
        <w:t>fine motor control</w:t>
      </w:r>
      <w:r w:rsidRPr="00CA1E5B">
        <w:rPr>
          <w:rFonts w:ascii="Times New Roman" w:eastAsia="Times New Roman" w:hAnsi="Times New Roman" w:cs="Times New Roman"/>
          <w:kern w:val="0"/>
          <w14:ligatures w14:val="none"/>
        </w:rPr>
        <w:t xml:space="preserve">, </w:t>
      </w:r>
      <w:r w:rsidRPr="00CA1E5B">
        <w:rPr>
          <w:rFonts w:ascii="Times New Roman" w:eastAsia="Times New Roman" w:hAnsi="Times New Roman" w:cs="Times New Roman"/>
          <w:b/>
          <w:bCs/>
          <w:kern w:val="0"/>
          <w14:ligatures w14:val="none"/>
        </w:rPr>
        <w:t>semantic memory</w:t>
      </w:r>
      <w:r w:rsidRPr="00CA1E5B">
        <w:rPr>
          <w:rFonts w:ascii="Times New Roman" w:eastAsia="Times New Roman" w:hAnsi="Times New Roman" w:cs="Times New Roman"/>
          <w:kern w:val="0"/>
          <w14:ligatures w14:val="none"/>
        </w:rPr>
        <w:t xml:space="preserve">, and </w:t>
      </w:r>
      <w:r w:rsidRPr="00CA1E5B">
        <w:rPr>
          <w:rFonts w:ascii="Times New Roman" w:eastAsia="Times New Roman" w:hAnsi="Times New Roman" w:cs="Times New Roman"/>
          <w:b/>
          <w:bCs/>
          <w:kern w:val="0"/>
          <w14:ligatures w14:val="none"/>
        </w:rPr>
        <w:t>visuospatial coordination</w:t>
      </w:r>
      <w:r w:rsidRPr="00CA1E5B">
        <w:rPr>
          <w:rFonts w:ascii="Times New Roman" w:eastAsia="Times New Roman" w:hAnsi="Times New Roman" w:cs="Times New Roman"/>
          <w:kern w:val="0"/>
          <w14:ligatures w14:val="none"/>
        </w:rPr>
        <w:t xml:space="preserve">. A 2022 fMRI study by </w:t>
      </w:r>
      <w:proofErr w:type="spellStart"/>
      <w:r w:rsidRPr="00CA1E5B">
        <w:rPr>
          <w:rFonts w:ascii="Times New Roman" w:eastAsia="Times New Roman" w:hAnsi="Times New Roman" w:cs="Times New Roman"/>
          <w:kern w:val="0"/>
          <w14:ligatures w14:val="none"/>
        </w:rPr>
        <w:t>Haitharaju</w:t>
      </w:r>
      <w:proofErr w:type="spellEnd"/>
      <w:r w:rsidRPr="00CA1E5B">
        <w:rPr>
          <w:rFonts w:ascii="Times New Roman" w:eastAsia="Times New Roman" w:hAnsi="Times New Roman" w:cs="Times New Roman"/>
          <w:kern w:val="0"/>
          <w14:ligatures w14:val="none"/>
        </w:rPr>
        <w:t xml:space="preserve"> et al. observed heightened activation in the premotor cortex and supplementary motor areas when Bharatanatyam dancers performed expressive hand gestures. This suggests that mudras not only store cultural memory but also shape </w:t>
      </w:r>
      <w:r w:rsidRPr="00CA1E5B">
        <w:rPr>
          <w:rFonts w:ascii="Times New Roman" w:eastAsia="Times New Roman" w:hAnsi="Times New Roman" w:cs="Times New Roman"/>
          <w:b/>
          <w:bCs/>
          <w:kern w:val="0"/>
          <w14:ligatures w14:val="none"/>
        </w:rPr>
        <w:t>sensorimotor representations of language and thought</w:t>
      </w:r>
      <w:r w:rsidRPr="00CA1E5B">
        <w:rPr>
          <w:rFonts w:ascii="Times New Roman" w:eastAsia="Times New Roman" w:hAnsi="Times New Roman" w:cs="Times New Roman"/>
          <w:kern w:val="0"/>
          <w14:ligatures w14:val="none"/>
        </w:rPr>
        <w:t>, echoing embodied theories of cognition.</w:t>
      </w:r>
    </w:p>
    <w:p w14:paraId="2230C5F2" w14:textId="77777777" w:rsidR="00CA1E5B" w:rsidRPr="00CA1E5B" w:rsidRDefault="00F77572" w:rsidP="00CA1E5B">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20708D54">
          <v:rect id="_x0000_i1036" alt="" style="width:468pt;height:.05pt;mso-width-percent:0;mso-height-percent:0;mso-width-percent:0;mso-height-percent:0" o:hralign="center" o:hrstd="t" o:hr="t" fillcolor="#a0a0a0" stroked="f"/>
        </w:pict>
      </w:r>
    </w:p>
    <w:p w14:paraId="44268FE2" w14:textId="77777777" w:rsidR="00CA1E5B" w:rsidRP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A1E5B">
        <w:rPr>
          <w:rFonts w:ascii="Times New Roman" w:eastAsia="Times New Roman" w:hAnsi="Times New Roman" w:cs="Times New Roman"/>
          <w:b/>
          <w:bCs/>
          <w:kern w:val="0"/>
          <w:sz w:val="27"/>
          <w:szCs w:val="27"/>
          <w14:ligatures w14:val="none"/>
        </w:rPr>
        <w:t>12. Neuroplasticity: Updated Evidence and Implications</w:t>
      </w:r>
    </w:p>
    <w:p w14:paraId="166AA912"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Recent research confirms that dance interventions increase </w:t>
      </w:r>
      <w:r w:rsidRPr="00CA1E5B">
        <w:rPr>
          <w:rFonts w:ascii="Times New Roman" w:eastAsia="Times New Roman" w:hAnsi="Times New Roman" w:cs="Times New Roman"/>
          <w:b/>
          <w:bCs/>
          <w:kern w:val="0"/>
          <w14:ligatures w14:val="none"/>
        </w:rPr>
        <w:t>grey matter volume</w:t>
      </w:r>
      <w:r w:rsidRPr="00CA1E5B">
        <w:rPr>
          <w:rFonts w:ascii="Times New Roman" w:eastAsia="Times New Roman" w:hAnsi="Times New Roman" w:cs="Times New Roman"/>
          <w:kern w:val="0"/>
          <w14:ligatures w14:val="none"/>
        </w:rPr>
        <w:t xml:space="preserve">, especially in areas related to </w:t>
      </w:r>
      <w:r w:rsidRPr="00CA1E5B">
        <w:rPr>
          <w:rFonts w:ascii="Times New Roman" w:eastAsia="Times New Roman" w:hAnsi="Times New Roman" w:cs="Times New Roman"/>
          <w:b/>
          <w:bCs/>
          <w:kern w:val="0"/>
          <w14:ligatures w14:val="none"/>
        </w:rPr>
        <w:t>memory (hippocampus)</w:t>
      </w:r>
      <w:r w:rsidRPr="00CA1E5B">
        <w:rPr>
          <w:rFonts w:ascii="Times New Roman" w:eastAsia="Times New Roman" w:hAnsi="Times New Roman" w:cs="Times New Roman"/>
          <w:kern w:val="0"/>
          <w14:ligatures w14:val="none"/>
        </w:rPr>
        <w:t xml:space="preserve">, </w:t>
      </w:r>
      <w:r w:rsidRPr="00CA1E5B">
        <w:rPr>
          <w:rFonts w:ascii="Times New Roman" w:eastAsia="Times New Roman" w:hAnsi="Times New Roman" w:cs="Times New Roman"/>
          <w:b/>
          <w:bCs/>
          <w:kern w:val="0"/>
          <w14:ligatures w14:val="none"/>
        </w:rPr>
        <w:t>attention (anterior cingulate cortex)</w:t>
      </w:r>
      <w:r w:rsidRPr="00CA1E5B">
        <w:rPr>
          <w:rFonts w:ascii="Times New Roman" w:eastAsia="Times New Roman" w:hAnsi="Times New Roman" w:cs="Times New Roman"/>
          <w:kern w:val="0"/>
          <w14:ligatures w14:val="none"/>
        </w:rPr>
        <w:t xml:space="preserve">, and </w:t>
      </w:r>
      <w:r w:rsidRPr="00CA1E5B">
        <w:rPr>
          <w:rFonts w:ascii="Times New Roman" w:eastAsia="Times New Roman" w:hAnsi="Times New Roman" w:cs="Times New Roman"/>
          <w:b/>
          <w:bCs/>
          <w:kern w:val="0"/>
          <w14:ligatures w14:val="none"/>
        </w:rPr>
        <w:t>interhemispheric communication (corpus callosum)</w:t>
      </w:r>
      <w:r w:rsidRPr="00CA1E5B">
        <w:rPr>
          <w:rFonts w:ascii="Times New Roman" w:eastAsia="Times New Roman" w:hAnsi="Times New Roman" w:cs="Times New Roman"/>
          <w:kern w:val="0"/>
          <w14:ligatures w14:val="none"/>
        </w:rPr>
        <w:t xml:space="preserve">. A 2023 meta-analysis by Sharda et al. on traditional dance forms found that regular practice improved not only </w:t>
      </w:r>
      <w:r w:rsidRPr="00CA1E5B">
        <w:rPr>
          <w:rFonts w:ascii="Times New Roman" w:eastAsia="Times New Roman" w:hAnsi="Times New Roman" w:cs="Times New Roman"/>
          <w:b/>
          <w:bCs/>
          <w:kern w:val="0"/>
          <w14:ligatures w14:val="none"/>
        </w:rPr>
        <w:t>neuroplasticity</w:t>
      </w:r>
      <w:r w:rsidRPr="00CA1E5B">
        <w:rPr>
          <w:rFonts w:ascii="Times New Roman" w:eastAsia="Times New Roman" w:hAnsi="Times New Roman" w:cs="Times New Roman"/>
          <w:kern w:val="0"/>
          <w14:ligatures w14:val="none"/>
        </w:rPr>
        <w:t xml:space="preserve"> but also </w:t>
      </w:r>
      <w:r w:rsidRPr="00CA1E5B">
        <w:rPr>
          <w:rFonts w:ascii="Times New Roman" w:eastAsia="Times New Roman" w:hAnsi="Times New Roman" w:cs="Times New Roman"/>
          <w:b/>
          <w:bCs/>
          <w:kern w:val="0"/>
          <w14:ligatures w14:val="none"/>
        </w:rPr>
        <w:t>cognitive resilience</w:t>
      </w:r>
      <w:r w:rsidRPr="00CA1E5B">
        <w:rPr>
          <w:rFonts w:ascii="Times New Roman" w:eastAsia="Times New Roman" w:hAnsi="Times New Roman" w:cs="Times New Roman"/>
          <w:kern w:val="0"/>
          <w14:ligatures w14:val="none"/>
        </w:rPr>
        <w:t xml:space="preserve"> against aging and neurodegeneration.</w:t>
      </w:r>
    </w:p>
    <w:p w14:paraId="14E4D475"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Bharatanatyam, with its episodic recall of mythological narratives, may support </w:t>
      </w:r>
      <w:r w:rsidRPr="00CA1E5B">
        <w:rPr>
          <w:rFonts w:ascii="Times New Roman" w:eastAsia="Times New Roman" w:hAnsi="Times New Roman" w:cs="Times New Roman"/>
          <w:b/>
          <w:bCs/>
          <w:kern w:val="0"/>
          <w14:ligatures w14:val="none"/>
        </w:rPr>
        <w:t>episodic memory encoding</w:t>
      </w:r>
      <w:r w:rsidRPr="00CA1E5B">
        <w:rPr>
          <w:rFonts w:ascii="Times New Roman" w:eastAsia="Times New Roman" w:hAnsi="Times New Roman" w:cs="Times New Roman"/>
          <w:kern w:val="0"/>
          <w14:ligatures w14:val="none"/>
        </w:rPr>
        <w:t xml:space="preserve">. The cyclical nature of rhythmic structures (e.g., </w:t>
      </w:r>
      <w:proofErr w:type="spellStart"/>
      <w:r w:rsidRPr="00CA1E5B">
        <w:rPr>
          <w:rFonts w:ascii="Times New Roman" w:eastAsia="Times New Roman" w:hAnsi="Times New Roman" w:cs="Times New Roman"/>
          <w:i/>
          <w:iCs/>
          <w:kern w:val="0"/>
          <w14:ligatures w14:val="none"/>
        </w:rPr>
        <w:t>adi</w:t>
      </w:r>
      <w:proofErr w:type="spellEnd"/>
      <w:r w:rsidRPr="00CA1E5B">
        <w:rPr>
          <w:rFonts w:ascii="Times New Roman" w:eastAsia="Times New Roman" w:hAnsi="Times New Roman" w:cs="Times New Roman"/>
          <w:i/>
          <w:iCs/>
          <w:kern w:val="0"/>
          <w14:ligatures w14:val="none"/>
        </w:rPr>
        <w:t xml:space="preserve"> tala</w:t>
      </w:r>
      <w:r w:rsidRPr="00CA1E5B">
        <w:rPr>
          <w:rFonts w:ascii="Times New Roman" w:eastAsia="Times New Roman" w:hAnsi="Times New Roman" w:cs="Times New Roman"/>
          <w:kern w:val="0"/>
          <w14:ligatures w14:val="none"/>
        </w:rPr>
        <w:t xml:space="preserve">) aligns with emerging work on </w:t>
      </w:r>
      <w:r w:rsidRPr="00CA1E5B">
        <w:rPr>
          <w:rFonts w:ascii="Times New Roman" w:eastAsia="Times New Roman" w:hAnsi="Times New Roman" w:cs="Times New Roman"/>
          <w:b/>
          <w:bCs/>
          <w:kern w:val="0"/>
          <w14:ligatures w14:val="none"/>
        </w:rPr>
        <w:t>temporal patterning and cognition</w:t>
      </w:r>
      <w:r w:rsidRPr="00CA1E5B">
        <w:rPr>
          <w:rFonts w:ascii="Times New Roman" w:eastAsia="Times New Roman" w:hAnsi="Times New Roman" w:cs="Times New Roman"/>
          <w:kern w:val="0"/>
          <w14:ligatures w14:val="none"/>
        </w:rPr>
        <w:t xml:space="preserve">, suggesting that entrainment in Bharatanatyam </w:t>
      </w:r>
      <w:proofErr w:type="gramStart"/>
      <w:r w:rsidRPr="00CA1E5B">
        <w:rPr>
          <w:rFonts w:ascii="Times New Roman" w:eastAsia="Times New Roman" w:hAnsi="Times New Roman" w:cs="Times New Roman"/>
          <w:kern w:val="0"/>
          <w14:ligatures w14:val="none"/>
        </w:rPr>
        <w:t>scaffolds</w:t>
      </w:r>
      <w:proofErr w:type="gramEnd"/>
      <w:r w:rsidRPr="00CA1E5B">
        <w:rPr>
          <w:rFonts w:ascii="Times New Roman" w:eastAsia="Times New Roman" w:hAnsi="Times New Roman" w:cs="Times New Roman"/>
          <w:kern w:val="0"/>
          <w14:ligatures w14:val="none"/>
        </w:rPr>
        <w:t xml:space="preserve"> executive function and </w:t>
      </w:r>
      <w:r w:rsidRPr="00CA1E5B">
        <w:rPr>
          <w:rFonts w:ascii="Times New Roman" w:eastAsia="Times New Roman" w:hAnsi="Times New Roman" w:cs="Times New Roman"/>
          <w:b/>
          <w:bCs/>
          <w:kern w:val="0"/>
          <w14:ligatures w14:val="none"/>
        </w:rPr>
        <w:t>temporal prediction networks</w:t>
      </w:r>
      <w:r w:rsidRPr="00CA1E5B">
        <w:rPr>
          <w:rFonts w:ascii="Times New Roman" w:eastAsia="Times New Roman" w:hAnsi="Times New Roman" w:cs="Times New Roman"/>
          <w:kern w:val="0"/>
          <w14:ligatures w14:val="none"/>
        </w:rPr>
        <w:t>—a crucial feature in social cognition and conversation timing.</w:t>
      </w:r>
    </w:p>
    <w:p w14:paraId="29B759D5" w14:textId="77777777" w:rsidR="00CA1E5B" w:rsidRPr="00CA1E5B" w:rsidRDefault="00F77572" w:rsidP="00CA1E5B">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18EA8278">
          <v:rect id="_x0000_i1037" alt="" style="width:468pt;height:.05pt;mso-width-percent:0;mso-height-percent:0;mso-width-percent:0;mso-height-percent:0" o:hralign="center" o:hrstd="t" o:hr="t" fillcolor="#a0a0a0" stroked="f"/>
        </w:pict>
      </w:r>
    </w:p>
    <w:p w14:paraId="79FE053C" w14:textId="77777777" w:rsidR="00CA1E5B" w:rsidRP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A1E5B">
        <w:rPr>
          <w:rFonts w:ascii="Times New Roman" w:eastAsia="Times New Roman" w:hAnsi="Times New Roman" w:cs="Times New Roman"/>
          <w:b/>
          <w:bCs/>
          <w:kern w:val="0"/>
          <w:sz w:val="27"/>
          <w:szCs w:val="27"/>
          <w14:ligatures w14:val="none"/>
        </w:rPr>
        <w:t>13. The Role of Drishti and Facial Muscle Mapping</w:t>
      </w:r>
    </w:p>
    <w:p w14:paraId="211BCC3B"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b/>
          <w:bCs/>
          <w:kern w:val="0"/>
          <w14:ligatures w14:val="none"/>
        </w:rPr>
        <w:t xml:space="preserve">Drishti </w:t>
      </w:r>
      <w:proofErr w:type="spellStart"/>
      <w:r w:rsidRPr="00CA1E5B">
        <w:rPr>
          <w:rFonts w:ascii="Times New Roman" w:eastAsia="Times New Roman" w:hAnsi="Times New Roman" w:cs="Times New Roman"/>
          <w:b/>
          <w:bCs/>
          <w:kern w:val="0"/>
          <w14:ligatures w14:val="none"/>
        </w:rPr>
        <w:t>bheda</w:t>
      </w:r>
      <w:proofErr w:type="spellEnd"/>
      <w:r w:rsidRPr="00CA1E5B">
        <w:rPr>
          <w:rFonts w:ascii="Times New Roman" w:eastAsia="Times New Roman" w:hAnsi="Times New Roman" w:cs="Times New Roman"/>
          <w:kern w:val="0"/>
          <w14:ligatures w14:val="none"/>
        </w:rPr>
        <w:t>, or eye movement techniques, play a key role in directing attention and signifying emotional nuance. Each gaze—</w:t>
      </w:r>
      <w:proofErr w:type="spellStart"/>
      <w:r w:rsidRPr="00CA1E5B">
        <w:rPr>
          <w:rFonts w:ascii="Times New Roman" w:eastAsia="Times New Roman" w:hAnsi="Times New Roman" w:cs="Times New Roman"/>
          <w:b/>
          <w:bCs/>
          <w:kern w:val="0"/>
          <w14:ligatures w14:val="none"/>
        </w:rPr>
        <w:t>aalokita</w:t>
      </w:r>
      <w:proofErr w:type="spellEnd"/>
      <w:r w:rsidRPr="00CA1E5B">
        <w:rPr>
          <w:rFonts w:ascii="Times New Roman" w:eastAsia="Times New Roman" w:hAnsi="Times New Roman" w:cs="Times New Roman"/>
          <w:kern w:val="0"/>
          <w14:ligatures w14:val="none"/>
        </w:rPr>
        <w:t xml:space="preserve"> (circular gaze), </w:t>
      </w:r>
      <w:proofErr w:type="spellStart"/>
      <w:r w:rsidRPr="00CA1E5B">
        <w:rPr>
          <w:rFonts w:ascii="Times New Roman" w:eastAsia="Times New Roman" w:hAnsi="Times New Roman" w:cs="Times New Roman"/>
          <w:b/>
          <w:bCs/>
          <w:kern w:val="0"/>
          <w14:ligatures w14:val="none"/>
        </w:rPr>
        <w:t>sama</w:t>
      </w:r>
      <w:proofErr w:type="spellEnd"/>
      <w:r w:rsidRPr="00CA1E5B">
        <w:rPr>
          <w:rFonts w:ascii="Times New Roman" w:eastAsia="Times New Roman" w:hAnsi="Times New Roman" w:cs="Times New Roman"/>
          <w:kern w:val="0"/>
          <w14:ligatures w14:val="none"/>
        </w:rPr>
        <w:t xml:space="preserve"> (straight), or </w:t>
      </w:r>
      <w:proofErr w:type="spellStart"/>
      <w:r w:rsidRPr="00CA1E5B">
        <w:rPr>
          <w:rFonts w:ascii="Times New Roman" w:eastAsia="Times New Roman" w:hAnsi="Times New Roman" w:cs="Times New Roman"/>
          <w:b/>
          <w:bCs/>
          <w:kern w:val="0"/>
          <w14:ligatures w14:val="none"/>
        </w:rPr>
        <w:t>sachi</w:t>
      </w:r>
      <w:proofErr w:type="spellEnd"/>
      <w:r w:rsidRPr="00CA1E5B">
        <w:rPr>
          <w:rFonts w:ascii="Times New Roman" w:eastAsia="Times New Roman" w:hAnsi="Times New Roman" w:cs="Times New Roman"/>
          <w:kern w:val="0"/>
          <w14:ligatures w14:val="none"/>
        </w:rPr>
        <w:t xml:space="preserve"> (side glance)—is mapped to distinct emotions or narrative shifts. From a neuroscience perspective, this maps onto the </w:t>
      </w:r>
      <w:r w:rsidRPr="00CA1E5B">
        <w:rPr>
          <w:rFonts w:ascii="Times New Roman" w:eastAsia="Times New Roman" w:hAnsi="Times New Roman" w:cs="Times New Roman"/>
          <w:b/>
          <w:bCs/>
          <w:kern w:val="0"/>
          <w14:ligatures w14:val="none"/>
        </w:rPr>
        <w:t>superior temporal sulcus</w:t>
      </w:r>
      <w:r w:rsidRPr="00CA1E5B">
        <w:rPr>
          <w:rFonts w:ascii="Times New Roman" w:eastAsia="Times New Roman" w:hAnsi="Times New Roman" w:cs="Times New Roman"/>
          <w:kern w:val="0"/>
          <w14:ligatures w14:val="none"/>
        </w:rPr>
        <w:t>, where facial expression and gaze direction are interpreted in tandem.</w:t>
      </w:r>
    </w:p>
    <w:p w14:paraId="4276A99B"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Facial muscles used in </w:t>
      </w:r>
      <w:r w:rsidRPr="00CA1E5B">
        <w:rPr>
          <w:rFonts w:ascii="Times New Roman" w:eastAsia="Times New Roman" w:hAnsi="Times New Roman" w:cs="Times New Roman"/>
          <w:b/>
          <w:bCs/>
          <w:kern w:val="0"/>
          <w14:ligatures w14:val="none"/>
        </w:rPr>
        <w:t>abhinaya</w:t>
      </w:r>
      <w:r w:rsidRPr="00CA1E5B">
        <w:rPr>
          <w:rFonts w:ascii="Times New Roman" w:eastAsia="Times New Roman" w:hAnsi="Times New Roman" w:cs="Times New Roman"/>
          <w:kern w:val="0"/>
          <w14:ligatures w14:val="none"/>
        </w:rPr>
        <w:t xml:space="preserve">—particularly the orbicularis oculi and zygomaticus major—are tied to genuine emotional expression. Their controlled activation during training not only </w:t>
      </w:r>
      <w:r w:rsidRPr="00CA1E5B">
        <w:rPr>
          <w:rFonts w:ascii="Times New Roman" w:eastAsia="Times New Roman" w:hAnsi="Times New Roman" w:cs="Times New Roman"/>
          <w:kern w:val="0"/>
          <w14:ligatures w14:val="none"/>
        </w:rPr>
        <w:lastRenderedPageBreak/>
        <w:t xml:space="preserve">cultivates </w:t>
      </w:r>
      <w:r w:rsidRPr="00CA1E5B">
        <w:rPr>
          <w:rFonts w:ascii="Times New Roman" w:eastAsia="Times New Roman" w:hAnsi="Times New Roman" w:cs="Times New Roman"/>
          <w:b/>
          <w:bCs/>
          <w:kern w:val="0"/>
          <w14:ligatures w14:val="none"/>
        </w:rPr>
        <w:t>expressive discipline</w:t>
      </w:r>
      <w:r w:rsidRPr="00CA1E5B">
        <w:rPr>
          <w:rFonts w:ascii="Times New Roman" w:eastAsia="Times New Roman" w:hAnsi="Times New Roman" w:cs="Times New Roman"/>
          <w:kern w:val="0"/>
          <w14:ligatures w14:val="none"/>
        </w:rPr>
        <w:t xml:space="preserve"> but may also engage the </w:t>
      </w:r>
      <w:r w:rsidRPr="00CA1E5B">
        <w:rPr>
          <w:rFonts w:ascii="Times New Roman" w:eastAsia="Times New Roman" w:hAnsi="Times New Roman" w:cs="Times New Roman"/>
          <w:b/>
          <w:bCs/>
          <w:kern w:val="0"/>
          <w14:ligatures w14:val="none"/>
        </w:rPr>
        <w:t>insula</w:t>
      </w:r>
      <w:r w:rsidRPr="00CA1E5B">
        <w:rPr>
          <w:rFonts w:ascii="Times New Roman" w:eastAsia="Times New Roman" w:hAnsi="Times New Roman" w:cs="Times New Roman"/>
          <w:kern w:val="0"/>
          <w14:ligatures w14:val="none"/>
        </w:rPr>
        <w:t xml:space="preserve"> and </w:t>
      </w:r>
      <w:r w:rsidRPr="00CA1E5B">
        <w:rPr>
          <w:rFonts w:ascii="Times New Roman" w:eastAsia="Times New Roman" w:hAnsi="Times New Roman" w:cs="Times New Roman"/>
          <w:b/>
          <w:bCs/>
          <w:kern w:val="0"/>
          <w14:ligatures w14:val="none"/>
        </w:rPr>
        <w:t>amygdala</w:t>
      </w:r>
      <w:r w:rsidRPr="00CA1E5B">
        <w:rPr>
          <w:rFonts w:ascii="Times New Roman" w:eastAsia="Times New Roman" w:hAnsi="Times New Roman" w:cs="Times New Roman"/>
          <w:kern w:val="0"/>
          <w14:ligatures w14:val="none"/>
        </w:rPr>
        <w:t>, increasing empathic response in both dancer and viewer.</w:t>
      </w:r>
    </w:p>
    <w:p w14:paraId="5D5585A9" w14:textId="77777777" w:rsidR="00CA1E5B" w:rsidRPr="00CA1E5B" w:rsidRDefault="00F77572" w:rsidP="00CA1E5B">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779BFCD9">
          <v:rect id="_x0000_i1038" alt="" style="width:468pt;height:.05pt;mso-width-percent:0;mso-height-percent:0;mso-width-percent:0;mso-height-percent:0" o:hralign="center" o:hrstd="t" o:hr="t" fillcolor="#a0a0a0" stroked="f"/>
        </w:pict>
      </w:r>
    </w:p>
    <w:p w14:paraId="34F582E1" w14:textId="77777777" w:rsidR="00CA1E5B" w:rsidRP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A1E5B">
        <w:rPr>
          <w:rFonts w:ascii="Times New Roman" w:eastAsia="Times New Roman" w:hAnsi="Times New Roman" w:cs="Times New Roman"/>
          <w:b/>
          <w:bCs/>
          <w:kern w:val="0"/>
          <w:sz w:val="27"/>
          <w:szCs w:val="27"/>
          <w14:ligatures w14:val="none"/>
        </w:rPr>
        <w:t>14. Rhythm, Breath, and Autonomic Regulation</w:t>
      </w:r>
    </w:p>
    <w:p w14:paraId="49AACD73"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Bharatanatyam's emphasis on rhythmic breath and body coordination activates the </w:t>
      </w:r>
      <w:r w:rsidRPr="00CA1E5B">
        <w:rPr>
          <w:rFonts w:ascii="Times New Roman" w:eastAsia="Times New Roman" w:hAnsi="Times New Roman" w:cs="Times New Roman"/>
          <w:b/>
          <w:bCs/>
          <w:kern w:val="0"/>
          <w14:ligatures w14:val="none"/>
        </w:rPr>
        <w:t>parasympathetic nervous system</w:t>
      </w:r>
      <w:r w:rsidRPr="00CA1E5B">
        <w:rPr>
          <w:rFonts w:ascii="Times New Roman" w:eastAsia="Times New Roman" w:hAnsi="Times New Roman" w:cs="Times New Roman"/>
          <w:kern w:val="0"/>
          <w14:ligatures w14:val="none"/>
        </w:rPr>
        <w:t xml:space="preserve">. Breath-controlled sequences in </w:t>
      </w:r>
      <w:proofErr w:type="spellStart"/>
      <w:r w:rsidRPr="00CA1E5B">
        <w:rPr>
          <w:rFonts w:ascii="Times New Roman" w:eastAsia="Times New Roman" w:hAnsi="Times New Roman" w:cs="Times New Roman"/>
          <w:b/>
          <w:bCs/>
          <w:kern w:val="0"/>
          <w14:ligatures w14:val="none"/>
        </w:rPr>
        <w:t>jatiswaram</w:t>
      </w:r>
      <w:proofErr w:type="spellEnd"/>
      <w:r w:rsidRPr="00CA1E5B">
        <w:rPr>
          <w:rFonts w:ascii="Times New Roman" w:eastAsia="Times New Roman" w:hAnsi="Times New Roman" w:cs="Times New Roman"/>
          <w:kern w:val="0"/>
          <w14:ligatures w14:val="none"/>
        </w:rPr>
        <w:t xml:space="preserve"> or </w:t>
      </w:r>
      <w:proofErr w:type="spellStart"/>
      <w:r w:rsidRPr="00CA1E5B">
        <w:rPr>
          <w:rFonts w:ascii="Times New Roman" w:eastAsia="Times New Roman" w:hAnsi="Times New Roman" w:cs="Times New Roman"/>
          <w:b/>
          <w:bCs/>
          <w:kern w:val="0"/>
          <w14:ligatures w14:val="none"/>
        </w:rPr>
        <w:t>varnam</w:t>
      </w:r>
      <w:proofErr w:type="spellEnd"/>
      <w:r w:rsidRPr="00CA1E5B">
        <w:rPr>
          <w:rFonts w:ascii="Times New Roman" w:eastAsia="Times New Roman" w:hAnsi="Times New Roman" w:cs="Times New Roman"/>
          <w:kern w:val="0"/>
          <w14:ligatures w14:val="none"/>
        </w:rPr>
        <w:t xml:space="preserve"> often follow the dancer's exhale, anchoring rhythm to respiration. This synchronization can reduce cortisol levels, enhance </w:t>
      </w:r>
      <w:r w:rsidRPr="00CA1E5B">
        <w:rPr>
          <w:rFonts w:ascii="Times New Roman" w:eastAsia="Times New Roman" w:hAnsi="Times New Roman" w:cs="Times New Roman"/>
          <w:b/>
          <w:bCs/>
          <w:kern w:val="0"/>
          <w14:ligatures w14:val="none"/>
        </w:rPr>
        <w:t>vagal tone</w:t>
      </w:r>
      <w:r w:rsidRPr="00CA1E5B">
        <w:rPr>
          <w:rFonts w:ascii="Times New Roman" w:eastAsia="Times New Roman" w:hAnsi="Times New Roman" w:cs="Times New Roman"/>
          <w:kern w:val="0"/>
          <w14:ligatures w14:val="none"/>
        </w:rPr>
        <w:t xml:space="preserve">, and foster </w:t>
      </w:r>
      <w:r w:rsidRPr="00CA1E5B">
        <w:rPr>
          <w:rFonts w:ascii="Times New Roman" w:eastAsia="Times New Roman" w:hAnsi="Times New Roman" w:cs="Times New Roman"/>
          <w:b/>
          <w:bCs/>
          <w:kern w:val="0"/>
          <w14:ligatures w14:val="none"/>
        </w:rPr>
        <w:t>emotional self-regulation</w:t>
      </w:r>
      <w:r w:rsidRPr="00CA1E5B">
        <w:rPr>
          <w:rFonts w:ascii="Times New Roman" w:eastAsia="Times New Roman" w:hAnsi="Times New Roman" w:cs="Times New Roman"/>
          <w:kern w:val="0"/>
          <w14:ligatures w14:val="none"/>
        </w:rPr>
        <w:t xml:space="preserve"> (Thayer &amp; Lane, 2009).</w:t>
      </w:r>
    </w:p>
    <w:p w14:paraId="38989B35"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The coordination of movement and breath aligns with </w:t>
      </w:r>
      <w:r w:rsidRPr="00CA1E5B">
        <w:rPr>
          <w:rFonts w:ascii="Times New Roman" w:eastAsia="Times New Roman" w:hAnsi="Times New Roman" w:cs="Times New Roman"/>
          <w:b/>
          <w:bCs/>
          <w:kern w:val="0"/>
          <w14:ligatures w14:val="none"/>
        </w:rPr>
        <w:t>interoceptive awareness</w:t>
      </w:r>
      <w:r w:rsidRPr="00CA1E5B">
        <w:rPr>
          <w:rFonts w:ascii="Times New Roman" w:eastAsia="Times New Roman" w:hAnsi="Times New Roman" w:cs="Times New Roman"/>
          <w:kern w:val="0"/>
          <w14:ligatures w14:val="none"/>
        </w:rPr>
        <w:t xml:space="preserve">—the capacity to feel internal bodily states—tied to </w:t>
      </w:r>
      <w:r w:rsidRPr="00CA1E5B">
        <w:rPr>
          <w:rFonts w:ascii="Times New Roman" w:eastAsia="Times New Roman" w:hAnsi="Times New Roman" w:cs="Times New Roman"/>
          <w:b/>
          <w:bCs/>
          <w:kern w:val="0"/>
          <w14:ligatures w14:val="none"/>
        </w:rPr>
        <w:t>meditative insight and stress resilience</w:t>
      </w:r>
      <w:r w:rsidRPr="00CA1E5B">
        <w:rPr>
          <w:rFonts w:ascii="Times New Roman" w:eastAsia="Times New Roman" w:hAnsi="Times New Roman" w:cs="Times New Roman"/>
          <w:kern w:val="0"/>
          <w14:ligatures w14:val="none"/>
        </w:rPr>
        <w:t>. Bharatanatyam, like contemplative practices, trains the dancer to tune into bodily rhythms, thereby increasing mindfulness and cognitive control.</w:t>
      </w:r>
    </w:p>
    <w:p w14:paraId="5186FF58" w14:textId="77777777" w:rsidR="00CA1E5B" w:rsidRPr="00CA1E5B" w:rsidRDefault="00F77572" w:rsidP="00CA1E5B">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36400712">
          <v:rect id="_x0000_i1039" alt="" style="width:468pt;height:.05pt;mso-width-percent:0;mso-height-percent:0;mso-width-percent:0;mso-height-percent:0" o:hralign="center" o:hrstd="t" o:hr="t" fillcolor="#a0a0a0" stroked="f"/>
        </w:pict>
      </w:r>
    </w:p>
    <w:p w14:paraId="42FEAA8F" w14:textId="77777777" w:rsidR="00CA1E5B" w:rsidRP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A1E5B">
        <w:rPr>
          <w:rFonts w:ascii="Times New Roman" w:eastAsia="Times New Roman" w:hAnsi="Times New Roman" w:cs="Times New Roman"/>
          <w:b/>
          <w:bCs/>
          <w:kern w:val="0"/>
          <w:sz w:val="27"/>
          <w:szCs w:val="27"/>
          <w14:ligatures w14:val="none"/>
        </w:rPr>
        <w:t>15. Bharatanatyam and Mirror Neurons: An Empathic Dialogue</w:t>
      </w:r>
    </w:p>
    <w:p w14:paraId="3EE216C0"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The </w:t>
      </w:r>
      <w:r w:rsidRPr="00CA1E5B">
        <w:rPr>
          <w:rFonts w:ascii="Times New Roman" w:eastAsia="Times New Roman" w:hAnsi="Times New Roman" w:cs="Times New Roman"/>
          <w:b/>
          <w:bCs/>
          <w:kern w:val="0"/>
          <w14:ligatures w14:val="none"/>
        </w:rPr>
        <w:t>mirror neuron system</w:t>
      </w:r>
      <w:r w:rsidRPr="00CA1E5B">
        <w:rPr>
          <w:rFonts w:ascii="Times New Roman" w:eastAsia="Times New Roman" w:hAnsi="Times New Roman" w:cs="Times New Roman"/>
          <w:kern w:val="0"/>
          <w14:ligatures w14:val="none"/>
        </w:rPr>
        <w:t xml:space="preserve">, primarily in the </w:t>
      </w:r>
      <w:r w:rsidRPr="00CA1E5B">
        <w:rPr>
          <w:rFonts w:ascii="Times New Roman" w:eastAsia="Times New Roman" w:hAnsi="Times New Roman" w:cs="Times New Roman"/>
          <w:b/>
          <w:bCs/>
          <w:kern w:val="0"/>
          <w14:ligatures w14:val="none"/>
        </w:rPr>
        <w:t>inferior parietal lobule</w:t>
      </w:r>
      <w:r w:rsidRPr="00CA1E5B">
        <w:rPr>
          <w:rFonts w:ascii="Times New Roman" w:eastAsia="Times New Roman" w:hAnsi="Times New Roman" w:cs="Times New Roman"/>
          <w:kern w:val="0"/>
          <w14:ligatures w14:val="none"/>
        </w:rPr>
        <w:t xml:space="preserve"> and </w:t>
      </w:r>
      <w:r w:rsidRPr="00CA1E5B">
        <w:rPr>
          <w:rFonts w:ascii="Times New Roman" w:eastAsia="Times New Roman" w:hAnsi="Times New Roman" w:cs="Times New Roman"/>
          <w:b/>
          <w:bCs/>
          <w:kern w:val="0"/>
          <w14:ligatures w14:val="none"/>
        </w:rPr>
        <w:t>premotor cortex</w:t>
      </w:r>
      <w:r w:rsidRPr="00CA1E5B">
        <w:rPr>
          <w:rFonts w:ascii="Times New Roman" w:eastAsia="Times New Roman" w:hAnsi="Times New Roman" w:cs="Times New Roman"/>
          <w:kern w:val="0"/>
          <w14:ligatures w14:val="none"/>
        </w:rPr>
        <w:t xml:space="preserve">, activates both when observing and performing actions. Watching a Bharatanatyam dancer in expressive rapture can stimulate mirrored emotional states in observers, facilitating </w:t>
      </w:r>
      <w:r w:rsidRPr="00CA1E5B">
        <w:rPr>
          <w:rFonts w:ascii="Times New Roman" w:eastAsia="Times New Roman" w:hAnsi="Times New Roman" w:cs="Times New Roman"/>
          <w:b/>
          <w:bCs/>
          <w:kern w:val="0"/>
          <w14:ligatures w14:val="none"/>
        </w:rPr>
        <w:t>affective resonance</w:t>
      </w:r>
      <w:r w:rsidRPr="00CA1E5B">
        <w:rPr>
          <w:rFonts w:ascii="Times New Roman" w:eastAsia="Times New Roman" w:hAnsi="Times New Roman" w:cs="Times New Roman"/>
          <w:kern w:val="0"/>
          <w14:ligatures w14:val="none"/>
        </w:rPr>
        <w:t xml:space="preserve">. This system enables </w:t>
      </w:r>
      <w:r w:rsidRPr="00CA1E5B">
        <w:rPr>
          <w:rFonts w:ascii="Times New Roman" w:eastAsia="Times New Roman" w:hAnsi="Times New Roman" w:cs="Times New Roman"/>
          <w:b/>
          <w:bCs/>
          <w:kern w:val="0"/>
          <w14:ligatures w14:val="none"/>
        </w:rPr>
        <w:t>nonverbal empathy</w:t>
      </w:r>
      <w:r w:rsidRPr="00CA1E5B">
        <w:rPr>
          <w:rFonts w:ascii="Times New Roman" w:eastAsia="Times New Roman" w:hAnsi="Times New Roman" w:cs="Times New Roman"/>
          <w:kern w:val="0"/>
          <w14:ligatures w14:val="none"/>
        </w:rPr>
        <w:t>, positioning Bharatanatyam as a medium of silent dialogue.</w:t>
      </w:r>
    </w:p>
    <w:p w14:paraId="028FA5AF"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Emerging evidence suggests that </w:t>
      </w:r>
      <w:r w:rsidRPr="00CA1E5B">
        <w:rPr>
          <w:rFonts w:ascii="Times New Roman" w:eastAsia="Times New Roman" w:hAnsi="Times New Roman" w:cs="Times New Roman"/>
          <w:b/>
          <w:bCs/>
          <w:kern w:val="0"/>
          <w14:ligatures w14:val="none"/>
        </w:rPr>
        <w:t>cultural specificity of movement</w:t>
      </w:r>
      <w:r w:rsidRPr="00CA1E5B">
        <w:rPr>
          <w:rFonts w:ascii="Times New Roman" w:eastAsia="Times New Roman" w:hAnsi="Times New Roman" w:cs="Times New Roman"/>
          <w:kern w:val="0"/>
          <w14:ligatures w14:val="none"/>
        </w:rPr>
        <w:t xml:space="preserve"> fine-tunes mirror systems—meaning that repeated exposure to culturally coded gestures (e.g., </w:t>
      </w:r>
      <w:proofErr w:type="spellStart"/>
      <w:r w:rsidRPr="00CA1E5B">
        <w:rPr>
          <w:rFonts w:ascii="Times New Roman" w:eastAsia="Times New Roman" w:hAnsi="Times New Roman" w:cs="Times New Roman"/>
          <w:i/>
          <w:iCs/>
          <w:kern w:val="0"/>
          <w14:ligatures w14:val="none"/>
        </w:rPr>
        <w:t>anjali</w:t>
      </w:r>
      <w:proofErr w:type="spellEnd"/>
      <w:r w:rsidRPr="00CA1E5B">
        <w:rPr>
          <w:rFonts w:ascii="Times New Roman" w:eastAsia="Times New Roman" w:hAnsi="Times New Roman" w:cs="Times New Roman"/>
          <w:kern w:val="0"/>
          <w14:ligatures w14:val="none"/>
        </w:rPr>
        <w:t xml:space="preserve"> mudra for reverence) can make neural responses more efficient and emotionally accurate (Iacoboni et al., 2021).</w:t>
      </w:r>
    </w:p>
    <w:p w14:paraId="5BD3ED8F" w14:textId="77777777" w:rsidR="00CA1E5B" w:rsidRPr="00CA1E5B" w:rsidRDefault="00F77572" w:rsidP="00CA1E5B">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515C094A">
          <v:rect id="_x0000_i1040" alt="" style="width:468pt;height:.05pt;mso-width-percent:0;mso-height-percent:0;mso-width-percent:0;mso-height-percent:0" o:hralign="center" o:hrstd="t" o:hr="t" fillcolor="#a0a0a0" stroked="f"/>
        </w:pict>
      </w:r>
    </w:p>
    <w:p w14:paraId="6C4D6FA0" w14:textId="77777777" w:rsidR="00CA1E5B" w:rsidRP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A1E5B">
        <w:rPr>
          <w:rFonts w:ascii="Times New Roman" w:eastAsia="Times New Roman" w:hAnsi="Times New Roman" w:cs="Times New Roman"/>
          <w:b/>
          <w:bCs/>
          <w:kern w:val="0"/>
          <w:sz w:val="27"/>
          <w:szCs w:val="27"/>
          <w14:ligatures w14:val="none"/>
        </w:rPr>
        <w:t>16. Cognitive Load, Multitasking, and Executive Function</w:t>
      </w:r>
    </w:p>
    <w:p w14:paraId="71C03473"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Performing Bharatanatyam requires simultaneous management of music, choreography, facial expression, emotion, and narrative consistency. This high </w:t>
      </w:r>
      <w:r w:rsidRPr="00CA1E5B">
        <w:rPr>
          <w:rFonts w:ascii="Times New Roman" w:eastAsia="Times New Roman" w:hAnsi="Times New Roman" w:cs="Times New Roman"/>
          <w:b/>
          <w:bCs/>
          <w:kern w:val="0"/>
          <w14:ligatures w14:val="none"/>
        </w:rPr>
        <w:t>cognitive load</w:t>
      </w:r>
      <w:r w:rsidRPr="00CA1E5B">
        <w:rPr>
          <w:rFonts w:ascii="Times New Roman" w:eastAsia="Times New Roman" w:hAnsi="Times New Roman" w:cs="Times New Roman"/>
          <w:kern w:val="0"/>
          <w14:ligatures w14:val="none"/>
        </w:rPr>
        <w:t xml:space="preserve"> cultivates robust </w:t>
      </w:r>
      <w:r w:rsidRPr="00CA1E5B">
        <w:rPr>
          <w:rFonts w:ascii="Times New Roman" w:eastAsia="Times New Roman" w:hAnsi="Times New Roman" w:cs="Times New Roman"/>
          <w:b/>
          <w:bCs/>
          <w:kern w:val="0"/>
          <w14:ligatures w14:val="none"/>
        </w:rPr>
        <w:t>working memory</w:t>
      </w:r>
      <w:r w:rsidRPr="00CA1E5B">
        <w:rPr>
          <w:rFonts w:ascii="Times New Roman" w:eastAsia="Times New Roman" w:hAnsi="Times New Roman" w:cs="Times New Roman"/>
          <w:kern w:val="0"/>
          <w14:ligatures w14:val="none"/>
        </w:rPr>
        <w:t xml:space="preserve">, </w:t>
      </w:r>
      <w:r w:rsidRPr="00CA1E5B">
        <w:rPr>
          <w:rFonts w:ascii="Times New Roman" w:eastAsia="Times New Roman" w:hAnsi="Times New Roman" w:cs="Times New Roman"/>
          <w:b/>
          <w:bCs/>
          <w:kern w:val="0"/>
          <w14:ligatures w14:val="none"/>
        </w:rPr>
        <w:t>task-switching</w:t>
      </w:r>
      <w:r w:rsidRPr="00CA1E5B">
        <w:rPr>
          <w:rFonts w:ascii="Times New Roman" w:eastAsia="Times New Roman" w:hAnsi="Times New Roman" w:cs="Times New Roman"/>
          <w:kern w:val="0"/>
          <w14:ligatures w14:val="none"/>
        </w:rPr>
        <w:t xml:space="preserve">, and </w:t>
      </w:r>
      <w:r w:rsidRPr="00CA1E5B">
        <w:rPr>
          <w:rFonts w:ascii="Times New Roman" w:eastAsia="Times New Roman" w:hAnsi="Times New Roman" w:cs="Times New Roman"/>
          <w:b/>
          <w:bCs/>
          <w:kern w:val="0"/>
          <w14:ligatures w14:val="none"/>
        </w:rPr>
        <w:t>inhibition control</w:t>
      </w:r>
      <w:r w:rsidRPr="00CA1E5B">
        <w:rPr>
          <w:rFonts w:ascii="Times New Roman" w:eastAsia="Times New Roman" w:hAnsi="Times New Roman" w:cs="Times New Roman"/>
          <w:kern w:val="0"/>
          <w14:ligatures w14:val="none"/>
        </w:rPr>
        <w:t xml:space="preserve">—hallmarks of </w:t>
      </w:r>
      <w:r w:rsidRPr="00CA1E5B">
        <w:rPr>
          <w:rFonts w:ascii="Times New Roman" w:eastAsia="Times New Roman" w:hAnsi="Times New Roman" w:cs="Times New Roman"/>
          <w:b/>
          <w:bCs/>
          <w:kern w:val="0"/>
          <w14:ligatures w14:val="none"/>
        </w:rPr>
        <w:t>executive function</w:t>
      </w:r>
      <w:r w:rsidRPr="00CA1E5B">
        <w:rPr>
          <w:rFonts w:ascii="Times New Roman" w:eastAsia="Times New Roman" w:hAnsi="Times New Roman" w:cs="Times New Roman"/>
          <w:kern w:val="0"/>
          <w14:ligatures w14:val="none"/>
        </w:rPr>
        <w:t>.</w:t>
      </w:r>
    </w:p>
    <w:p w14:paraId="75A90C32"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For instance, in a typical </w:t>
      </w:r>
      <w:proofErr w:type="spellStart"/>
      <w:r w:rsidRPr="00CA1E5B">
        <w:rPr>
          <w:rFonts w:ascii="Times New Roman" w:eastAsia="Times New Roman" w:hAnsi="Times New Roman" w:cs="Times New Roman"/>
          <w:b/>
          <w:bCs/>
          <w:kern w:val="0"/>
          <w14:ligatures w14:val="none"/>
        </w:rPr>
        <w:t>varnam</w:t>
      </w:r>
      <w:proofErr w:type="spellEnd"/>
      <w:r w:rsidRPr="00CA1E5B">
        <w:rPr>
          <w:rFonts w:ascii="Times New Roman" w:eastAsia="Times New Roman" w:hAnsi="Times New Roman" w:cs="Times New Roman"/>
          <w:kern w:val="0"/>
          <w14:ligatures w14:val="none"/>
        </w:rPr>
        <w:t xml:space="preserve">, a dancer may be keeping beat with feet (kinesthetic task), lip-syncing lyrics (verbal-motor alignment), maintaining rasa (emotional consistency), and switching spatial directions (spatial cognition). This multi-channel cognitive orchestration is akin to </w:t>
      </w:r>
      <w:r w:rsidRPr="00CA1E5B">
        <w:rPr>
          <w:rFonts w:ascii="Times New Roman" w:eastAsia="Times New Roman" w:hAnsi="Times New Roman" w:cs="Times New Roman"/>
          <w:b/>
          <w:bCs/>
          <w:kern w:val="0"/>
          <w14:ligatures w14:val="none"/>
        </w:rPr>
        <w:t>musical improvisation</w:t>
      </w:r>
      <w:r w:rsidRPr="00CA1E5B">
        <w:rPr>
          <w:rFonts w:ascii="Times New Roman" w:eastAsia="Times New Roman" w:hAnsi="Times New Roman" w:cs="Times New Roman"/>
          <w:kern w:val="0"/>
          <w14:ligatures w14:val="none"/>
        </w:rPr>
        <w:t xml:space="preserve">, and may promote </w:t>
      </w:r>
      <w:r w:rsidRPr="00CA1E5B">
        <w:rPr>
          <w:rFonts w:ascii="Times New Roman" w:eastAsia="Times New Roman" w:hAnsi="Times New Roman" w:cs="Times New Roman"/>
          <w:b/>
          <w:bCs/>
          <w:kern w:val="0"/>
          <w14:ligatures w14:val="none"/>
        </w:rPr>
        <w:t>cognitive flexibility</w:t>
      </w:r>
      <w:r w:rsidRPr="00CA1E5B">
        <w:rPr>
          <w:rFonts w:ascii="Times New Roman" w:eastAsia="Times New Roman" w:hAnsi="Times New Roman" w:cs="Times New Roman"/>
          <w:kern w:val="0"/>
          <w14:ligatures w14:val="none"/>
        </w:rPr>
        <w:t>, as supported by Bialystok’s bilingualism research (2015).</w:t>
      </w:r>
    </w:p>
    <w:p w14:paraId="7145D412" w14:textId="77777777" w:rsidR="00CA1E5B" w:rsidRPr="00CA1E5B" w:rsidRDefault="00F77572" w:rsidP="00CA1E5B">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lastRenderedPageBreak/>
      </w:r>
      <w:r w:rsidR="00F77572">
        <w:rPr>
          <w:rFonts w:ascii="Times New Roman" w:eastAsia="Times New Roman" w:hAnsi="Times New Roman" w:cs="Times New Roman"/>
          <w:noProof/>
          <w:kern w:val="0"/>
        </w:rPr>
        <w:pict w14:anchorId="52DD4E39">
          <v:rect id="_x0000_i1041" alt="" style="width:468pt;height:.05pt;mso-width-percent:0;mso-height-percent:0;mso-width-percent:0;mso-height-percent:0" o:hralign="center" o:hrstd="t" o:hr="t" fillcolor="#a0a0a0" stroked="f"/>
        </w:pict>
      </w:r>
    </w:p>
    <w:p w14:paraId="1EE5A4C3" w14:textId="77777777" w:rsidR="00CA1E5B" w:rsidRP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A1E5B">
        <w:rPr>
          <w:rFonts w:ascii="Times New Roman" w:eastAsia="Times New Roman" w:hAnsi="Times New Roman" w:cs="Times New Roman"/>
          <w:b/>
          <w:bCs/>
          <w:kern w:val="0"/>
          <w:sz w:val="27"/>
          <w:szCs w:val="27"/>
          <w14:ligatures w14:val="none"/>
        </w:rPr>
        <w:t>17. Visual-Spatial Cognition and Kinesthetic Intelligence</w:t>
      </w:r>
    </w:p>
    <w:p w14:paraId="6AEE87CE"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The spatial awareness in Bharatanatyam—knowing where to stand, move, gesture, and face the audience—sharpens </w:t>
      </w:r>
      <w:r w:rsidRPr="00CA1E5B">
        <w:rPr>
          <w:rFonts w:ascii="Times New Roman" w:eastAsia="Times New Roman" w:hAnsi="Times New Roman" w:cs="Times New Roman"/>
          <w:b/>
          <w:bCs/>
          <w:kern w:val="0"/>
          <w14:ligatures w14:val="none"/>
        </w:rPr>
        <w:t>visual-spatial intelligence</w:t>
      </w:r>
      <w:r w:rsidRPr="00CA1E5B">
        <w:rPr>
          <w:rFonts w:ascii="Times New Roman" w:eastAsia="Times New Roman" w:hAnsi="Times New Roman" w:cs="Times New Roman"/>
          <w:kern w:val="0"/>
          <w14:ligatures w14:val="none"/>
        </w:rPr>
        <w:t xml:space="preserve">. This is crucial for understanding form, pattern, and orientation, with strong links to </w:t>
      </w:r>
      <w:r w:rsidRPr="00CA1E5B">
        <w:rPr>
          <w:rFonts w:ascii="Times New Roman" w:eastAsia="Times New Roman" w:hAnsi="Times New Roman" w:cs="Times New Roman"/>
          <w:b/>
          <w:bCs/>
          <w:kern w:val="0"/>
          <w14:ligatures w14:val="none"/>
        </w:rPr>
        <w:t>mathematical reasoning</w:t>
      </w:r>
      <w:r w:rsidRPr="00CA1E5B">
        <w:rPr>
          <w:rFonts w:ascii="Times New Roman" w:eastAsia="Times New Roman" w:hAnsi="Times New Roman" w:cs="Times New Roman"/>
          <w:kern w:val="0"/>
          <w14:ligatures w14:val="none"/>
        </w:rPr>
        <w:t xml:space="preserve"> and </w:t>
      </w:r>
      <w:r w:rsidRPr="00CA1E5B">
        <w:rPr>
          <w:rFonts w:ascii="Times New Roman" w:eastAsia="Times New Roman" w:hAnsi="Times New Roman" w:cs="Times New Roman"/>
          <w:b/>
          <w:bCs/>
          <w:kern w:val="0"/>
          <w14:ligatures w14:val="none"/>
        </w:rPr>
        <w:t>design thinking</w:t>
      </w:r>
      <w:r w:rsidRPr="00CA1E5B">
        <w:rPr>
          <w:rFonts w:ascii="Times New Roman" w:eastAsia="Times New Roman" w:hAnsi="Times New Roman" w:cs="Times New Roman"/>
          <w:kern w:val="0"/>
          <w14:ligatures w14:val="none"/>
        </w:rPr>
        <w:t>.</w:t>
      </w:r>
    </w:p>
    <w:p w14:paraId="5BDCE82A"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Laban Movement Analysis (LMA) has been adapted by cognitive scientists to analyze how movement reflects cognitive states. When dancers move through angular versus curvilinear paths, they activate different spatial schemas, which may correlate with </w:t>
      </w:r>
      <w:r w:rsidRPr="00CA1E5B">
        <w:rPr>
          <w:rFonts w:ascii="Times New Roman" w:eastAsia="Times New Roman" w:hAnsi="Times New Roman" w:cs="Times New Roman"/>
          <w:b/>
          <w:bCs/>
          <w:kern w:val="0"/>
          <w14:ligatures w14:val="none"/>
        </w:rPr>
        <w:t>conceptual metaphors</w:t>
      </w:r>
      <w:r w:rsidRPr="00CA1E5B">
        <w:rPr>
          <w:rFonts w:ascii="Times New Roman" w:eastAsia="Times New Roman" w:hAnsi="Times New Roman" w:cs="Times New Roman"/>
          <w:kern w:val="0"/>
          <w14:ligatures w14:val="none"/>
        </w:rPr>
        <w:t xml:space="preserve"> like “sharp” for anger or “fluid” for love—revealing embodied metaphoric structures.</w:t>
      </w:r>
    </w:p>
    <w:p w14:paraId="44C376B0" w14:textId="77777777" w:rsidR="00CA1E5B" w:rsidRPr="00CA1E5B" w:rsidRDefault="00F77572" w:rsidP="00CA1E5B">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0F0EC198">
          <v:rect id="_x0000_i1042" alt="" style="width:468pt;height:.05pt;mso-width-percent:0;mso-height-percent:0;mso-width-percent:0;mso-height-percent:0" o:hralign="center" o:hrstd="t" o:hr="t" fillcolor="#a0a0a0" stroked="f"/>
        </w:pict>
      </w:r>
    </w:p>
    <w:p w14:paraId="19AD1934" w14:textId="77777777" w:rsidR="00CA1E5B" w:rsidRP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A1E5B">
        <w:rPr>
          <w:rFonts w:ascii="Times New Roman" w:eastAsia="Times New Roman" w:hAnsi="Times New Roman" w:cs="Times New Roman"/>
          <w:b/>
          <w:bCs/>
          <w:kern w:val="0"/>
          <w:sz w:val="27"/>
          <w:szCs w:val="27"/>
          <w14:ligatures w14:val="none"/>
        </w:rPr>
        <w:t>18. Bharatanatyam and the Cognitive Construction of Myth</w:t>
      </w:r>
    </w:p>
    <w:p w14:paraId="20AC9C83"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The mythological content of Bharatanatyam choreographies engages </w:t>
      </w:r>
      <w:r w:rsidRPr="00CA1E5B">
        <w:rPr>
          <w:rFonts w:ascii="Times New Roman" w:eastAsia="Times New Roman" w:hAnsi="Times New Roman" w:cs="Times New Roman"/>
          <w:b/>
          <w:bCs/>
          <w:kern w:val="0"/>
          <w14:ligatures w14:val="none"/>
        </w:rPr>
        <w:t>narrative construction</w:t>
      </w:r>
      <w:r w:rsidRPr="00CA1E5B">
        <w:rPr>
          <w:rFonts w:ascii="Times New Roman" w:eastAsia="Times New Roman" w:hAnsi="Times New Roman" w:cs="Times New Roman"/>
          <w:kern w:val="0"/>
          <w14:ligatures w14:val="none"/>
        </w:rPr>
        <w:t xml:space="preserve">, </w:t>
      </w:r>
      <w:r w:rsidRPr="00CA1E5B">
        <w:rPr>
          <w:rFonts w:ascii="Times New Roman" w:eastAsia="Times New Roman" w:hAnsi="Times New Roman" w:cs="Times New Roman"/>
          <w:b/>
          <w:bCs/>
          <w:kern w:val="0"/>
          <w14:ligatures w14:val="none"/>
        </w:rPr>
        <w:t>allegorical thinking</w:t>
      </w:r>
      <w:r w:rsidRPr="00CA1E5B">
        <w:rPr>
          <w:rFonts w:ascii="Times New Roman" w:eastAsia="Times New Roman" w:hAnsi="Times New Roman" w:cs="Times New Roman"/>
          <w:kern w:val="0"/>
          <w14:ligatures w14:val="none"/>
        </w:rPr>
        <w:t xml:space="preserve">, and </w:t>
      </w:r>
      <w:r w:rsidRPr="00CA1E5B">
        <w:rPr>
          <w:rFonts w:ascii="Times New Roman" w:eastAsia="Times New Roman" w:hAnsi="Times New Roman" w:cs="Times New Roman"/>
          <w:b/>
          <w:bCs/>
          <w:kern w:val="0"/>
          <w14:ligatures w14:val="none"/>
        </w:rPr>
        <w:t>temporal layering</w:t>
      </w:r>
      <w:r w:rsidRPr="00CA1E5B">
        <w:rPr>
          <w:rFonts w:ascii="Times New Roman" w:eastAsia="Times New Roman" w:hAnsi="Times New Roman" w:cs="Times New Roman"/>
          <w:kern w:val="0"/>
          <w14:ligatures w14:val="none"/>
        </w:rPr>
        <w:t xml:space="preserve">. Dancers re-enact stories of Shiva, Krishna, or Devi not only as cultural transmission but also as </w:t>
      </w:r>
      <w:r w:rsidRPr="00CA1E5B">
        <w:rPr>
          <w:rFonts w:ascii="Times New Roman" w:eastAsia="Times New Roman" w:hAnsi="Times New Roman" w:cs="Times New Roman"/>
          <w:b/>
          <w:bCs/>
          <w:kern w:val="0"/>
          <w14:ligatures w14:val="none"/>
        </w:rPr>
        <w:t>cognitive simulation</w:t>
      </w:r>
      <w:r w:rsidRPr="00CA1E5B">
        <w:rPr>
          <w:rFonts w:ascii="Times New Roman" w:eastAsia="Times New Roman" w:hAnsi="Times New Roman" w:cs="Times New Roman"/>
          <w:kern w:val="0"/>
          <w14:ligatures w14:val="none"/>
        </w:rPr>
        <w:t>—offering a stage to rehearse ethical dilemmas, archetypes, and metaphysical thought.</w:t>
      </w:r>
    </w:p>
    <w:p w14:paraId="18FCFF0C"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This process may activate </w:t>
      </w:r>
      <w:r w:rsidRPr="00CA1E5B">
        <w:rPr>
          <w:rFonts w:ascii="Times New Roman" w:eastAsia="Times New Roman" w:hAnsi="Times New Roman" w:cs="Times New Roman"/>
          <w:b/>
          <w:bCs/>
          <w:kern w:val="0"/>
          <w14:ligatures w14:val="none"/>
        </w:rPr>
        <w:t>default mode networks</w:t>
      </w:r>
      <w:r w:rsidRPr="00CA1E5B">
        <w:rPr>
          <w:rFonts w:ascii="Times New Roman" w:eastAsia="Times New Roman" w:hAnsi="Times New Roman" w:cs="Times New Roman"/>
          <w:kern w:val="0"/>
          <w14:ligatures w14:val="none"/>
        </w:rPr>
        <w:t xml:space="preserve"> (DMN), the brain’s system for internal narrative generation, and </w:t>
      </w:r>
      <w:r w:rsidRPr="00CA1E5B">
        <w:rPr>
          <w:rFonts w:ascii="Times New Roman" w:eastAsia="Times New Roman" w:hAnsi="Times New Roman" w:cs="Times New Roman"/>
          <w:b/>
          <w:bCs/>
          <w:kern w:val="0"/>
          <w14:ligatures w14:val="none"/>
        </w:rPr>
        <w:t>episodic simulation</w:t>
      </w:r>
      <w:r w:rsidRPr="00CA1E5B">
        <w:rPr>
          <w:rFonts w:ascii="Times New Roman" w:eastAsia="Times New Roman" w:hAnsi="Times New Roman" w:cs="Times New Roman"/>
          <w:kern w:val="0"/>
          <w14:ligatures w14:val="none"/>
        </w:rPr>
        <w:t xml:space="preserve">. The DMN, active during daydreaming or imagining alternative realities, is where </w:t>
      </w:r>
      <w:r w:rsidRPr="00CA1E5B">
        <w:rPr>
          <w:rFonts w:ascii="Times New Roman" w:eastAsia="Times New Roman" w:hAnsi="Times New Roman" w:cs="Times New Roman"/>
          <w:b/>
          <w:bCs/>
          <w:kern w:val="0"/>
          <w14:ligatures w14:val="none"/>
        </w:rPr>
        <w:t>creativity and memory intertwine</w:t>
      </w:r>
      <w:r w:rsidRPr="00CA1E5B">
        <w:rPr>
          <w:rFonts w:ascii="Times New Roman" w:eastAsia="Times New Roman" w:hAnsi="Times New Roman" w:cs="Times New Roman"/>
          <w:kern w:val="0"/>
          <w14:ligatures w14:val="none"/>
        </w:rPr>
        <w:t>—making Bharatanatyam a rehearsal ground for future cognition.</w:t>
      </w:r>
    </w:p>
    <w:p w14:paraId="3CD11E57" w14:textId="77777777" w:rsidR="00CA1E5B" w:rsidRPr="00CA1E5B" w:rsidRDefault="00F77572" w:rsidP="00CA1E5B">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44259260">
          <v:rect id="_x0000_i1043" alt="" style="width:468pt;height:.05pt;mso-width-percent:0;mso-height-percent:0;mso-width-percent:0;mso-height-percent:0" o:hralign="center" o:hrstd="t" o:hr="t" fillcolor="#a0a0a0" stroked="f"/>
        </w:pict>
      </w:r>
    </w:p>
    <w:p w14:paraId="3D85C52D" w14:textId="36590BDD" w:rsidR="00CA1E5B" w:rsidRPr="00CA1E5B" w:rsidRDefault="00CA1E5B" w:rsidP="00CA1E5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A1E5B">
        <w:rPr>
          <w:rFonts w:ascii="Times New Roman" w:eastAsia="Times New Roman" w:hAnsi="Times New Roman" w:cs="Times New Roman"/>
          <w:b/>
          <w:bCs/>
          <w:kern w:val="0"/>
          <w:sz w:val="27"/>
          <w:szCs w:val="27"/>
          <w14:ligatures w14:val="none"/>
        </w:rPr>
        <w:t>19. Bridging Dance and Cognitive Science</w:t>
      </w:r>
    </w:p>
    <w:p w14:paraId="4FEA1375"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There is enormous untapped potential in bridging Bharatanatyam with </w:t>
      </w:r>
      <w:r w:rsidRPr="00CA1E5B">
        <w:rPr>
          <w:rFonts w:ascii="Times New Roman" w:eastAsia="Times New Roman" w:hAnsi="Times New Roman" w:cs="Times New Roman"/>
          <w:b/>
          <w:bCs/>
          <w:kern w:val="0"/>
          <w14:ligatures w14:val="none"/>
        </w:rPr>
        <w:t>neurocognitive research methodologies</w:t>
      </w:r>
      <w:r w:rsidRPr="00CA1E5B">
        <w:rPr>
          <w:rFonts w:ascii="Times New Roman" w:eastAsia="Times New Roman" w:hAnsi="Times New Roman" w:cs="Times New Roman"/>
          <w:kern w:val="0"/>
          <w14:ligatures w14:val="none"/>
        </w:rPr>
        <w:t>. Future studies could include:</w:t>
      </w:r>
    </w:p>
    <w:p w14:paraId="61F94D9D" w14:textId="77777777" w:rsidR="00CA1E5B" w:rsidRPr="00CA1E5B" w:rsidRDefault="00CA1E5B" w:rsidP="00CA1E5B">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b/>
          <w:bCs/>
          <w:kern w:val="0"/>
          <w14:ligatures w14:val="none"/>
        </w:rPr>
        <w:t>EEG/fMRI</w:t>
      </w:r>
      <w:r w:rsidRPr="00CA1E5B">
        <w:rPr>
          <w:rFonts w:ascii="Times New Roman" w:eastAsia="Times New Roman" w:hAnsi="Times New Roman" w:cs="Times New Roman"/>
          <w:kern w:val="0"/>
          <w14:ligatures w14:val="none"/>
        </w:rPr>
        <w:t xml:space="preserve"> scans during performances to measure brain activation.</w:t>
      </w:r>
    </w:p>
    <w:p w14:paraId="34235F45" w14:textId="77777777" w:rsidR="00CA1E5B" w:rsidRPr="00CA1E5B" w:rsidRDefault="00CA1E5B" w:rsidP="00CA1E5B">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b/>
          <w:bCs/>
          <w:kern w:val="0"/>
          <w14:ligatures w14:val="none"/>
        </w:rPr>
        <w:t>Eye-tracking studies</w:t>
      </w:r>
      <w:r w:rsidRPr="00CA1E5B">
        <w:rPr>
          <w:rFonts w:ascii="Times New Roman" w:eastAsia="Times New Roman" w:hAnsi="Times New Roman" w:cs="Times New Roman"/>
          <w:kern w:val="0"/>
          <w14:ligatures w14:val="none"/>
        </w:rPr>
        <w:t xml:space="preserve"> to assess attentional shifts during </w:t>
      </w:r>
      <w:r w:rsidRPr="00CA1E5B">
        <w:rPr>
          <w:rFonts w:ascii="Times New Roman" w:eastAsia="Times New Roman" w:hAnsi="Times New Roman" w:cs="Times New Roman"/>
          <w:i/>
          <w:iCs/>
          <w:kern w:val="0"/>
          <w14:ligatures w14:val="none"/>
        </w:rPr>
        <w:t>abhinaya</w:t>
      </w:r>
      <w:r w:rsidRPr="00CA1E5B">
        <w:rPr>
          <w:rFonts w:ascii="Times New Roman" w:eastAsia="Times New Roman" w:hAnsi="Times New Roman" w:cs="Times New Roman"/>
          <w:kern w:val="0"/>
          <w14:ligatures w14:val="none"/>
        </w:rPr>
        <w:t>.</w:t>
      </w:r>
    </w:p>
    <w:p w14:paraId="4C0AAEBC" w14:textId="77777777" w:rsidR="00CA1E5B" w:rsidRPr="00CA1E5B" w:rsidRDefault="00CA1E5B" w:rsidP="00CA1E5B">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b/>
          <w:bCs/>
          <w:kern w:val="0"/>
          <w14:ligatures w14:val="none"/>
        </w:rPr>
        <w:t>Comparative cognition tests</w:t>
      </w:r>
      <w:r w:rsidRPr="00CA1E5B">
        <w:rPr>
          <w:rFonts w:ascii="Times New Roman" w:eastAsia="Times New Roman" w:hAnsi="Times New Roman" w:cs="Times New Roman"/>
          <w:kern w:val="0"/>
          <w14:ligatures w14:val="none"/>
        </w:rPr>
        <w:t xml:space="preserve"> between trained and untrained individuals on empathy, memory, and spatial reasoning.</w:t>
      </w:r>
    </w:p>
    <w:p w14:paraId="50DE45E0" w14:textId="77777777" w:rsidR="00CA1E5B" w:rsidRPr="00CA1E5B" w:rsidRDefault="00CA1E5B" w:rsidP="00CA1E5B">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Incorporating </w:t>
      </w:r>
      <w:r w:rsidRPr="00CA1E5B">
        <w:rPr>
          <w:rFonts w:ascii="Times New Roman" w:eastAsia="Times New Roman" w:hAnsi="Times New Roman" w:cs="Times New Roman"/>
          <w:b/>
          <w:bCs/>
          <w:kern w:val="0"/>
          <w14:ligatures w14:val="none"/>
        </w:rPr>
        <w:t>gesture-based AI models</w:t>
      </w:r>
      <w:r w:rsidRPr="00CA1E5B">
        <w:rPr>
          <w:rFonts w:ascii="Times New Roman" w:eastAsia="Times New Roman" w:hAnsi="Times New Roman" w:cs="Times New Roman"/>
          <w:kern w:val="0"/>
          <w14:ligatures w14:val="none"/>
        </w:rPr>
        <w:t xml:space="preserve"> to decode mudra lexicons into symbolic computational data.</w:t>
      </w:r>
    </w:p>
    <w:p w14:paraId="7A2B8B92" w14:textId="77777777" w:rsidR="00CA1E5B" w:rsidRPr="00CA1E5B" w:rsidRDefault="00CA1E5B" w:rsidP="00CA1E5B">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Cross-disciplinary residencies, especially those blending the arts with neuroscience (e.g., MIT Media Lab, </w:t>
      </w:r>
      <w:proofErr w:type="spellStart"/>
      <w:r w:rsidRPr="00CA1E5B">
        <w:rPr>
          <w:rFonts w:ascii="Times New Roman" w:eastAsia="Times New Roman" w:hAnsi="Times New Roman" w:cs="Times New Roman"/>
          <w:kern w:val="0"/>
          <w14:ligatures w14:val="none"/>
        </w:rPr>
        <w:t>Wellcome</w:t>
      </w:r>
      <w:proofErr w:type="spellEnd"/>
      <w:r w:rsidRPr="00CA1E5B">
        <w:rPr>
          <w:rFonts w:ascii="Times New Roman" w:eastAsia="Times New Roman" w:hAnsi="Times New Roman" w:cs="Times New Roman"/>
          <w:kern w:val="0"/>
          <w14:ligatures w14:val="none"/>
        </w:rPr>
        <w:t xml:space="preserve"> Collection), can nurture new tools and insights to push these questions further.</w:t>
      </w:r>
    </w:p>
    <w:p w14:paraId="24993196" w14:textId="24CBE8D5" w:rsidR="00382A13" w:rsidRPr="00C7088C" w:rsidRDefault="00F77572" w:rsidP="00C7088C">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F77572">
        <w:rPr>
          <w:rFonts w:ascii="Times New Roman" w:eastAsia="Times New Roman" w:hAnsi="Times New Roman" w:cs="Times New Roman"/>
          <w:noProof/>
          <w:kern w:val="0"/>
        </w:rPr>
        <w:pict w14:anchorId="706D4284">
          <v:rect id="_x0000_i1044" alt="" style="width:468pt;height:.05pt;mso-width-percent:0;mso-height-percent:0;mso-width-percent:0;mso-height-percent:0" o:hralign="center" o:hrstd="t" o:hr="t" fillcolor="#a0a0a0" stroked="f"/>
        </w:pict>
      </w:r>
    </w:p>
    <w:p w14:paraId="1AA73418" w14:textId="77777777" w:rsidR="00382A13" w:rsidRPr="000C5AEF" w:rsidRDefault="00382A13" w:rsidP="00382A13">
      <w:pPr>
        <w:rPr>
          <w:rFonts w:ascii="Times New Roman" w:hAnsi="Times New Roman" w:cs="Times New Roman"/>
          <w:sz w:val="27"/>
          <w:szCs w:val="27"/>
        </w:rPr>
      </w:pPr>
    </w:p>
    <w:p w14:paraId="6C0B1A67" w14:textId="7A4A621C" w:rsidR="00D61256" w:rsidRPr="005F24ED" w:rsidRDefault="00D61256" w:rsidP="00D61256">
      <w:pPr>
        <w:rPr>
          <w:rFonts w:ascii="Times New Roman" w:hAnsi="Times New Roman" w:cs="Times New Roman"/>
          <w:b/>
          <w:bCs/>
          <w:sz w:val="27"/>
          <w:szCs w:val="27"/>
        </w:rPr>
      </w:pPr>
      <w:r w:rsidRPr="005F24ED">
        <w:rPr>
          <w:rFonts w:ascii="Times New Roman" w:hAnsi="Times New Roman" w:cs="Times New Roman"/>
          <w:b/>
          <w:bCs/>
          <w:sz w:val="27"/>
          <w:szCs w:val="27"/>
        </w:rPr>
        <w:t>2</w:t>
      </w:r>
      <w:r w:rsidR="00C7088C" w:rsidRPr="005F24ED">
        <w:rPr>
          <w:rFonts w:ascii="Times New Roman" w:hAnsi="Times New Roman" w:cs="Times New Roman"/>
          <w:b/>
          <w:bCs/>
          <w:sz w:val="27"/>
          <w:szCs w:val="27"/>
        </w:rPr>
        <w:t>0</w:t>
      </w:r>
      <w:r w:rsidRPr="005F24ED">
        <w:rPr>
          <w:rFonts w:ascii="Times New Roman" w:hAnsi="Times New Roman" w:cs="Times New Roman"/>
          <w:b/>
          <w:bCs/>
          <w:sz w:val="27"/>
          <w:szCs w:val="27"/>
        </w:rPr>
        <w:t>. Bharatanatyam and the Future of Embodied Language Learning</w:t>
      </w:r>
    </w:p>
    <w:p w14:paraId="0100E452" w14:textId="77777777" w:rsidR="00D61256" w:rsidRPr="00D61256" w:rsidRDefault="00D61256" w:rsidP="00D61256">
      <w:pPr>
        <w:rPr>
          <w:rFonts w:ascii="Times New Roman" w:hAnsi="Times New Roman" w:cs="Times New Roman"/>
        </w:rPr>
      </w:pPr>
      <w:r w:rsidRPr="00D61256">
        <w:rPr>
          <w:rFonts w:ascii="Times New Roman" w:hAnsi="Times New Roman" w:cs="Times New Roman"/>
        </w:rPr>
        <w:t>As digital interfaces dominate communication, the future of language acquisition may increasingly rely on multimodal, embodied methods. Bharatanatyam’s gestural lexicon (*mudras*) and rhythmic syllabification (*</w:t>
      </w:r>
      <w:proofErr w:type="spellStart"/>
      <w:r w:rsidRPr="00D61256">
        <w:rPr>
          <w:rFonts w:ascii="Times New Roman" w:hAnsi="Times New Roman" w:cs="Times New Roman"/>
        </w:rPr>
        <w:t>sollukattu</w:t>
      </w:r>
      <w:proofErr w:type="spellEnd"/>
      <w:r w:rsidRPr="00D61256">
        <w:rPr>
          <w:rFonts w:ascii="Times New Roman" w:hAnsi="Times New Roman" w:cs="Times New Roman"/>
        </w:rPr>
        <w:t>*) offer a scaffold for linguistic development, particularly for children or individuals with language-processing differences. Research on sign language acquisition has shown that motor-visual learning enhances vocabulary retention and syntactic understanding (</w:t>
      </w:r>
      <w:proofErr w:type="spellStart"/>
      <w:r w:rsidRPr="00D61256">
        <w:rPr>
          <w:rFonts w:ascii="Times New Roman" w:hAnsi="Times New Roman" w:cs="Times New Roman"/>
        </w:rPr>
        <w:t>Emmorey</w:t>
      </w:r>
      <w:proofErr w:type="spellEnd"/>
      <w:r w:rsidRPr="00D61256">
        <w:rPr>
          <w:rFonts w:ascii="Times New Roman" w:hAnsi="Times New Roman" w:cs="Times New Roman"/>
        </w:rPr>
        <w:t xml:space="preserve">, 2002). Similarly, Bharatanatyam’s structured gesture systems could be adapted to teach spoken languages—for instance, mapping mudras to phonemes or semantic units in second-language instruction. Emerging technologies like motion-capture AI could transform these gestures into interactive feedback tools, creating immersive "dance-language" interfaces that bridge movement and verbal fluency.  </w:t>
      </w:r>
    </w:p>
    <w:p w14:paraId="1A43DDDB" w14:textId="1724F5A3" w:rsidR="00D61256" w:rsidRPr="000C5AEF" w:rsidRDefault="00D023BC" w:rsidP="00D61256">
      <w:pPr>
        <w:rPr>
          <w:rFonts w:ascii="Times New Roman" w:hAnsi="Times New Roman" w:cs="Times New Roman"/>
          <w:sz w:val="27"/>
          <w:szCs w:val="27"/>
        </w:rPr>
      </w:pPr>
      <w:r>
        <w:rPr>
          <w:rFonts w:ascii="Times New Roman" w:eastAsia="Times New Roman" w:hAnsi="Times New Roman" w:cs="Times New Roman"/>
          <w:noProof/>
          <w:kern w:val="0"/>
        </w:rPr>
      </w:r>
      <w:r w:rsidR="00D023BC">
        <w:rPr>
          <w:rFonts w:ascii="Times New Roman" w:eastAsia="Times New Roman" w:hAnsi="Times New Roman" w:cs="Times New Roman"/>
          <w:noProof/>
          <w:kern w:val="0"/>
        </w:rPr>
        <w:pict w14:anchorId="7FF03DA3">
          <v:rect id="_x0000_i1045" alt="" style="width:468pt;height:.05pt;mso-width-percent:0;mso-height-percent:0;mso-width-percent:0;mso-height-percent:0" o:hralign="center" o:hrstd="t" o:hr="t" fillcolor="#a0a0a0" stroked="f"/>
        </w:pict>
      </w:r>
    </w:p>
    <w:p w14:paraId="38A2D9A6" w14:textId="4AE6DCCF" w:rsidR="00D61256" w:rsidRPr="005F24ED" w:rsidRDefault="00D61256" w:rsidP="00D61256">
      <w:pPr>
        <w:rPr>
          <w:rFonts w:ascii="Times New Roman" w:hAnsi="Times New Roman" w:cs="Times New Roman"/>
          <w:b/>
          <w:bCs/>
          <w:sz w:val="27"/>
          <w:szCs w:val="27"/>
        </w:rPr>
      </w:pPr>
      <w:r w:rsidRPr="005F24ED">
        <w:rPr>
          <w:rFonts w:ascii="Times New Roman" w:hAnsi="Times New Roman" w:cs="Times New Roman"/>
          <w:b/>
          <w:bCs/>
          <w:sz w:val="27"/>
          <w:szCs w:val="27"/>
        </w:rPr>
        <w:t>2</w:t>
      </w:r>
      <w:r w:rsidR="00C7088C" w:rsidRPr="005F24ED">
        <w:rPr>
          <w:rFonts w:ascii="Times New Roman" w:hAnsi="Times New Roman" w:cs="Times New Roman"/>
          <w:b/>
          <w:bCs/>
          <w:sz w:val="27"/>
          <w:szCs w:val="27"/>
        </w:rPr>
        <w:t>1</w:t>
      </w:r>
      <w:r w:rsidRPr="005F24ED">
        <w:rPr>
          <w:rFonts w:ascii="Times New Roman" w:hAnsi="Times New Roman" w:cs="Times New Roman"/>
          <w:b/>
          <w:bCs/>
          <w:sz w:val="27"/>
          <w:szCs w:val="27"/>
        </w:rPr>
        <w:t xml:space="preserve">. Neurocognitive Synergy: Dance as a Linguistic Rehearsal </w:t>
      </w:r>
    </w:p>
    <w:p w14:paraId="5A849865" w14:textId="77777777" w:rsidR="00D61256" w:rsidRPr="00D61256" w:rsidRDefault="00D61256" w:rsidP="00D61256">
      <w:pPr>
        <w:rPr>
          <w:rFonts w:ascii="Times New Roman" w:hAnsi="Times New Roman" w:cs="Times New Roman"/>
        </w:rPr>
      </w:pPr>
      <w:r w:rsidRPr="00D61256">
        <w:rPr>
          <w:rFonts w:ascii="Times New Roman" w:hAnsi="Times New Roman" w:cs="Times New Roman"/>
        </w:rPr>
        <w:t>The neural overlap between dance and language networks suggests that Bharatanatyam could serve as a cognitive primer for linguistic tasks. Broca’s area, traditionally associated with speech production, activates during complex motor sequences (Fadiga et al., 2009), while the cerebellum’s role in rhythm processing aids grammatical prediction (Kotz et al., 2018). Future pedagogical frameworks might integrate Bharatanatyam’s *</w:t>
      </w:r>
      <w:proofErr w:type="spellStart"/>
      <w:r w:rsidRPr="00D61256">
        <w:rPr>
          <w:rFonts w:ascii="Times New Roman" w:hAnsi="Times New Roman" w:cs="Times New Roman"/>
        </w:rPr>
        <w:t>nritta</w:t>
      </w:r>
      <w:proofErr w:type="spellEnd"/>
      <w:r w:rsidRPr="00D61256">
        <w:rPr>
          <w:rFonts w:ascii="Times New Roman" w:hAnsi="Times New Roman" w:cs="Times New Roman"/>
        </w:rPr>
        <w:t xml:space="preserve">* (rhythmic footwork) to reinforce prosody and *abhinaya* (expression) to practice emotional intonation. For example, choreographing dance phrases to poetry or dialogue could strengthen memory for idiomatic expressions, leveraging the "encoding specificity" principle—where multimodal cues enhance recall (Tulving &amp; Thomson, 1973). Such methods could revolutionize language education, particularly for neurodivergent learners who thrive on kinesthetic input.  </w:t>
      </w:r>
    </w:p>
    <w:p w14:paraId="2BD7502E" w14:textId="06849460" w:rsidR="00D61256" w:rsidRPr="00D61256" w:rsidRDefault="00D023BC" w:rsidP="00D61256">
      <w:pPr>
        <w:rPr>
          <w:rFonts w:ascii="Times New Roman" w:hAnsi="Times New Roman" w:cs="Times New Roman"/>
        </w:rPr>
      </w:pPr>
      <w:r>
        <w:rPr>
          <w:rFonts w:ascii="Times New Roman" w:eastAsia="Times New Roman" w:hAnsi="Times New Roman" w:cs="Times New Roman"/>
          <w:noProof/>
          <w:kern w:val="0"/>
        </w:rPr>
      </w:r>
      <w:r w:rsidR="00D023BC">
        <w:rPr>
          <w:rFonts w:ascii="Times New Roman" w:eastAsia="Times New Roman" w:hAnsi="Times New Roman" w:cs="Times New Roman"/>
          <w:noProof/>
          <w:kern w:val="0"/>
        </w:rPr>
        <w:pict w14:anchorId="273CE3CB">
          <v:rect id="_x0000_i1046" alt="" style="width:468pt;height:.05pt;mso-width-percent:0;mso-height-percent:0;mso-width-percent:0;mso-height-percent:0" o:hralign="center" o:hrstd="t" o:hr="t" fillcolor="#a0a0a0" stroked="f"/>
        </w:pict>
      </w:r>
    </w:p>
    <w:p w14:paraId="7E2BC75A" w14:textId="523E7E1F" w:rsidR="00D61256" w:rsidRPr="005F24ED" w:rsidRDefault="00D61256" w:rsidP="00D61256">
      <w:pPr>
        <w:rPr>
          <w:rFonts w:ascii="Times New Roman" w:hAnsi="Times New Roman" w:cs="Times New Roman"/>
          <w:b/>
          <w:bCs/>
          <w:sz w:val="27"/>
          <w:szCs w:val="27"/>
        </w:rPr>
      </w:pPr>
      <w:r w:rsidRPr="005F24ED">
        <w:rPr>
          <w:rFonts w:ascii="Times New Roman" w:hAnsi="Times New Roman" w:cs="Times New Roman"/>
          <w:b/>
          <w:bCs/>
          <w:sz w:val="27"/>
          <w:szCs w:val="27"/>
        </w:rPr>
        <w:t>2</w:t>
      </w:r>
      <w:r w:rsidR="00C7088C" w:rsidRPr="005F24ED">
        <w:rPr>
          <w:rFonts w:ascii="Times New Roman" w:hAnsi="Times New Roman" w:cs="Times New Roman"/>
          <w:b/>
          <w:bCs/>
          <w:sz w:val="27"/>
          <w:szCs w:val="27"/>
        </w:rPr>
        <w:t>2</w:t>
      </w:r>
      <w:r w:rsidRPr="005F24ED">
        <w:rPr>
          <w:rFonts w:ascii="Times New Roman" w:hAnsi="Times New Roman" w:cs="Times New Roman"/>
          <w:b/>
          <w:bCs/>
          <w:sz w:val="27"/>
          <w:szCs w:val="27"/>
        </w:rPr>
        <w:t xml:space="preserve">. Dance and the Evolution of Nonverbal Communication Technologies </w:t>
      </w:r>
    </w:p>
    <w:p w14:paraId="708BD54F" w14:textId="77777777" w:rsidR="00D61256" w:rsidRPr="00D61256" w:rsidRDefault="00D61256" w:rsidP="00D61256">
      <w:pPr>
        <w:rPr>
          <w:rFonts w:ascii="Times New Roman" w:hAnsi="Times New Roman" w:cs="Times New Roman"/>
        </w:rPr>
      </w:pPr>
      <w:r w:rsidRPr="00D61256">
        <w:rPr>
          <w:rFonts w:ascii="Times New Roman" w:hAnsi="Times New Roman" w:cs="Times New Roman"/>
        </w:rPr>
        <w:t>In an era of virtual interaction, Bharatanatyam’s nuanced nonverbal communication could inform the design of avatars and AI systems. Motion-capture studies of *rasa* expressions could train emotion-recognition algorithms to interpret subtle facial and gestural cues, improving cross-cultural telehealth or assistive technologies for nonverbal individuals. Projects like Google’s "Move Mirror" (2019) hint at this potential, but Bharatanatyam’s codified emotional grammar (*</w:t>
      </w:r>
      <w:proofErr w:type="spellStart"/>
      <w:r w:rsidRPr="00D61256">
        <w:rPr>
          <w:rFonts w:ascii="Times New Roman" w:hAnsi="Times New Roman" w:cs="Times New Roman"/>
        </w:rPr>
        <w:t>navarasa</w:t>
      </w:r>
      <w:proofErr w:type="spellEnd"/>
      <w:r w:rsidRPr="00D61256">
        <w:rPr>
          <w:rFonts w:ascii="Times New Roman" w:hAnsi="Times New Roman" w:cs="Times New Roman"/>
        </w:rPr>
        <w:t xml:space="preserve">*) offers a richer, culturally attuned framework. Future applications might include "gestural keyboards" that translate mudras into text or speech, or VR environments where users "dance" metaphors to learn abstract concepts—turning the body into a dynamic interface for language.  </w:t>
      </w:r>
    </w:p>
    <w:p w14:paraId="3F831D3A" w14:textId="3F06D529" w:rsidR="00D61256" w:rsidRPr="005F24ED" w:rsidRDefault="00D023BC" w:rsidP="00D61256">
      <w:pPr>
        <w:rPr>
          <w:rFonts w:ascii="Times New Roman" w:hAnsi="Times New Roman" w:cs="Times New Roman"/>
          <w:b/>
          <w:bCs/>
        </w:rPr>
      </w:pPr>
      <w:r>
        <w:rPr>
          <w:rFonts w:ascii="Times New Roman" w:eastAsia="Times New Roman" w:hAnsi="Times New Roman" w:cs="Times New Roman"/>
          <w:noProof/>
          <w:kern w:val="0"/>
        </w:rPr>
        <w:lastRenderedPageBreak/>
      </w:r>
      <w:r w:rsidR="00D023BC">
        <w:rPr>
          <w:rFonts w:ascii="Times New Roman" w:eastAsia="Times New Roman" w:hAnsi="Times New Roman" w:cs="Times New Roman"/>
          <w:noProof/>
          <w:kern w:val="0"/>
        </w:rPr>
        <w:pict w14:anchorId="042C600A">
          <v:rect id="_x0000_i1047" alt="" style="width:468pt;height:.05pt;mso-width-percent:0;mso-height-percent:0;mso-width-percent:0;mso-height-percent:0" o:hralign="center" o:hrstd="t" o:hr="t" fillcolor="#a0a0a0" stroked="f"/>
        </w:pict>
      </w:r>
    </w:p>
    <w:p w14:paraId="240518B5" w14:textId="0FF8A4D4" w:rsidR="00D61256" w:rsidRPr="005F24ED" w:rsidRDefault="00D61256" w:rsidP="00D61256">
      <w:pPr>
        <w:rPr>
          <w:rFonts w:ascii="Times New Roman" w:hAnsi="Times New Roman" w:cs="Times New Roman"/>
          <w:b/>
          <w:bCs/>
          <w:sz w:val="27"/>
          <w:szCs w:val="27"/>
        </w:rPr>
      </w:pPr>
      <w:r w:rsidRPr="005F24ED">
        <w:rPr>
          <w:rFonts w:ascii="Times New Roman" w:hAnsi="Times New Roman" w:cs="Times New Roman"/>
          <w:b/>
          <w:bCs/>
          <w:sz w:val="27"/>
          <w:szCs w:val="27"/>
        </w:rPr>
        <w:t>2</w:t>
      </w:r>
      <w:r w:rsidR="00C7088C" w:rsidRPr="005F24ED">
        <w:rPr>
          <w:rFonts w:ascii="Times New Roman" w:hAnsi="Times New Roman" w:cs="Times New Roman"/>
          <w:b/>
          <w:bCs/>
          <w:sz w:val="27"/>
          <w:szCs w:val="27"/>
        </w:rPr>
        <w:t>3</w:t>
      </w:r>
      <w:r w:rsidRPr="005F24ED">
        <w:rPr>
          <w:rFonts w:ascii="Times New Roman" w:hAnsi="Times New Roman" w:cs="Times New Roman"/>
          <w:b/>
          <w:bCs/>
          <w:sz w:val="27"/>
          <w:szCs w:val="27"/>
        </w:rPr>
        <w:t>. Bharatanatyam as a Therapeutic Language Intervention</w:t>
      </w:r>
    </w:p>
    <w:p w14:paraId="72919B09" w14:textId="77777777" w:rsidR="00D61256" w:rsidRPr="00D61256" w:rsidRDefault="00D61256" w:rsidP="00D61256">
      <w:pPr>
        <w:rPr>
          <w:rFonts w:ascii="Times New Roman" w:hAnsi="Times New Roman" w:cs="Times New Roman"/>
        </w:rPr>
      </w:pPr>
      <w:r w:rsidRPr="00D61256">
        <w:rPr>
          <w:rFonts w:ascii="Times New Roman" w:hAnsi="Times New Roman" w:cs="Times New Roman"/>
        </w:rPr>
        <w:t>Clinical studies already use dance to support speech recovery in aphasia (Mahendran et al., 2020), but Bharatanatyam’s narrative component (*</w:t>
      </w:r>
      <w:proofErr w:type="spellStart"/>
      <w:r w:rsidRPr="00D61256">
        <w:rPr>
          <w:rFonts w:ascii="Times New Roman" w:hAnsi="Times New Roman" w:cs="Times New Roman"/>
        </w:rPr>
        <w:t>natya</w:t>
      </w:r>
      <w:proofErr w:type="spellEnd"/>
      <w:r w:rsidRPr="00D61256">
        <w:rPr>
          <w:rFonts w:ascii="Times New Roman" w:hAnsi="Times New Roman" w:cs="Times New Roman"/>
        </w:rPr>
        <w:t xml:space="preserve">*) could expand this further. By pairing rhythmic movement with storytelling, dancers engage both procedural memory (for motor sequences) and declarative memory (for plot and lyrics), creating redundant pathways for language retrieval. For trauma survivors, the dance’s symbolic gestures might bypass verbal barriers to expression, akin to dance/movement therapy (ADTA, 2023). Future research could measure how mudra-based narratives reactivate language centers post-stroke or enhance lexicon access in dementia patients, positioning Bharatanatyam as a cross-modal therapeutic tool.  </w:t>
      </w:r>
    </w:p>
    <w:p w14:paraId="56F5ACD1" w14:textId="746F0032" w:rsidR="00D61256" w:rsidRPr="00D61256" w:rsidRDefault="00D023BC" w:rsidP="00D61256">
      <w:pPr>
        <w:rPr>
          <w:rFonts w:ascii="Times New Roman" w:hAnsi="Times New Roman" w:cs="Times New Roman"/>
        </w:rPr>
      </w:pPr>
      <w:r>
        <w:rPr>
          <w:rFonts w:ascii="Times New Roman" w:eastAsia="Times New Roman" w:hAnsi="Times New Roman" w:cs="Times New Roman"/>
          <w:noProof/>
          <w:kern w:val="0"/>
        </w:rPr>
      </w:r>
      <w:r w:rsidR="00D023BC">
        <w:rPr>
          <w:rFonts w:ascii="Times New Roman" w:eastAsia="Times New Roman" w:hAnsi="Times New Roman" w:cs="Times New Roman"/>
          <w:noProof/>
          <w:kern w:val="0"/>
        </w:rPr>
        <w:pict w14:anchorId="61676AF5">
          <v:rect id="_x0000_i1048" alt="" style="width:468pt;height:.05pt;mso-width-percent:0;mso-height-percent:0;mso-width-percent:0;mso-height-percent:0" o:hralign="center" o:hrstd="t" o:hr="t" fillcolor="#a0a0a0" stroked="f"/>
        </w:pict>
      </w:r>
    </w:p>
    <w:p w14:paraId="29F3B434" w14:textId="521C31D6" w:rsidR="00D61256" w:rsidRPr="005F24ED" w:rsidRDefault="00D61256" w:rsidP="00D61256">
      <w:pPr>
        <w:rPr>
          <w:rFonts w:ascii="Times New Roman" w:hAnsi="Times New Roman" w:cs="Times New Roman"/>
          <w:b/>
          <w:bCs/>
          <w:sz w:val="27"/>
          <w:szCs w:val="27"/>
        </w:rPr>
      </w:pPr>
      <w:r w:rsidRPr="005F24ED">
        <w:rPr>
          <w:rFonts w:ascii="Times New Roman" w:hAnsi="Times New Roman" w:cs="Times New Roman"/>
          <w:b/>
          <w:bCs/>
          <w:sz w:val="27"/>
          <w:szCs w:val="27"/>
        </w:rPr>
        <w:t>2</w:t>
      </w:r>
      <w:r w:rsidR="00C7088C" w:rsidRPr="005F24ED">
        <w:rPr>
          <w:rFonts w:ascii="Times New Roman" w:hAnsi="Times New Roman" w:cs="Times New Roman"/>
          <w:b/>
          <w:bCs/>
          <w:sz w:val="27"/>
          <w:szCs w:val="27"/>
        </w:rPr>
        <w:t>4</w:t>
      </w:r>
      <w:r w:rsidRPr="005F24ED">
        <w:rPr>
          <w:rFonts w:ascii="Times New Roman" w:hAnsi="Times New Roman" w:cs="Times New Roman"/>
          <w:b/>
          <w:bCs/>
          <w:sz w:val="27"/>
          <w:szCs w:val="27"/>
        </w:rPr>
        <w:t xml:space="preserve">. Toward a Hybrid Future: </w:t>
      </w:r>
      <w:proofErr w:type="spellStart"/>
      <w:r w:rsidRPr="005F24ED">
        <w:rPr>
          <w:rFonts w:ascii="Times New Roman" w:hAnsi="Times New Roman" w:cs="Times New Roman"/>
          <w:b/>
          <w:bCs/>
          <w:sz w:val="27"/>
          <w:szCs w:val="27"/>
        </w:rPr>
        <w:t>Biodigital</w:t>
      </w:r>
      <w:proofErr w:type="spellEnd"/>
      <w:r w:rsidRPr="005F24ED">
        <w:rPr>
          <w:rFonts w:ascii="Times New Roman" w:hAnsi="Times New Roman" w:cs="Times New Roman"/>
          <w:b/>
          <w:bCs/>
          <w:sz w:val="27"/>
          <w:szCs w:val="27"/>
        </w:rPr>
        <w:t xml:space="preserve"> Dance and Linguistic Creativity</w:t>
      </w:r>
    </w:p>
    <w:p w14:paraId="05550669" w14:textId="77777777" w:rsidR="00D61256" w:rsidRDefault="00D61256" w:rsidP="00D61256">
      <w:pPr>
        <w:rPr>
          <w:rFonts w:ascii="Times New Roman" w:hAnsi="Times New Roman" w:cs="Times New Roman"/>
        </w:rPr>
      </w:pPr>
      <w:r w:rsidRPr="00D61256">
        <w:rPr>
          <w:rFonts w:ascii="Times New Roman" w:hAnsi="Times New Roman" w:cs="Times New Roman"/>
        </w:rPr>
        <w:t xml:space="preserve">The convergence of biotechnology and dance opens radical possibilities. Imagine wearable sensors that convert muscle micro-movements during *abhinaya* into synthesized speech, or EEG headbands that modulate music in real time based on a dancer’s emotional state. Such innovations could democratize language creation, enabling new forms of "movement dialects" for global collaboration. Bharatanatyam’s rigor ensures these tools remain rooted in cultural specificity, resisting homogenization. As UNESCO’s 2003 Intangible Heritage Declaration recognized, traditional arts like Bharatanatyam are not relics but living systems—ones that may soon shape how we code, learn, and reinvent language itself.  </w:t>
      </w:r>
    </w:p>
    <w:p w14:paraId="5BC1C3A3" w14:textId="7C382853" w:rsidR="00C7088C" w:rsidRDefault="00D023BC" w:rsidP="00C7088C">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noProof/>
          <w:kern w:val="0"/>
        </w:rPr>
      </w:r>
      <w:r w:rsidR="00D023BC">
        <w:rPr>
          <w:rFonts w:ascii="Times New Roman" w:eastAsia="Times New Roman" w:hAnsi="Times New Roman" w:cs="Times New Roman"/>
          <w:noProof/>
          <w:kern w:val="0"/>
        </w:rPr>
        <w:pict w14:anchorId="116FFE34">
          <v:rect id="_x0000_i1049" alt="" style="width:468pt;height:.05pt;mso-width-percent:0;mso-height-percent:0;mso-width-percent:0;mso-height-percent:0" o:hralign="center" o:hrstd="t" o:hr="t" fillcolor="#a0a0a0" stroked="f"/>
        </w:pict>
      </w:r>
    </w:p>
    <w:p w14:paraId="0CBB270F" w14:textId="43958FFD" w:rsidR="00C7088C" w:rsidRPr="00CA1E5B" w:rsidRDefault="00C7088C" w:rsidP="00C7088C">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A1E5B">
        <w:rPr>
          <w:rFonts w:ascii="Times New Roman" w:eastAsia="Times New Roman" w:hAnsi="Times New Roman" w:cs="Times New Roman"/>
          <w:b/>
          <w:bCs/>
          <w:kern w:val="0"/>
          <w:sz w:val="27"/>
          <w:szCs w:val="27"/>
          <w14:ligatures w14:val="none"/>
        </w:rPr>
        <w:t>2</w:t>
      </w:r>
      <w:r>
        <w:rPr>
          <w:rFonts w:ascii="Times New Roman" w:eastAsia="Times New Roman" w:hAnsi="Times New Roman" w:cs="Times New Roman"/>
          <w:b/>
          <w:bCs/>
          <w:kern w:val="0"/>
          <w:sz w:val="27"/>
          <w:szCs w:val="27"/>
          <w14:ligatures w14:val="none"/>
        </w:rPr>
        <w:t>5</w:t>
      </w:r>
      <w:r w:rsidRPr="00CA1E5B">
        <w:rPr>
          <w:rFonts w:ascii="Times New Roman" w:eastAsia="Times New Roman" w:hAnsi="Times New Roman" w:cs="Times New Roman"/>
          <w:b/>
          <w:bCs/>
          <w:kern w:val="0"/>
          <w:sz w:val="27"/>
          <w:szCs w:val="27"/>
          <w14:ligatures w14:val="none"/>
        </w:rPr>
        <w:t>. Conclusion: Bharatanatyam as a Cognitive Artform</w:t>
      </w:r>
    </w:p>
    <w:p w14:paraId="02D6147D" w14:textId="77777777" w:rsidR="00C7088C" w:rsidRPr="00CA1E5B" w:rsidRDefault="00C7088C" w:rsidP="00C7088C">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Bharatanatyam offers a rich case study in how traditional artistic practices engage the brain holistically. It blurs the lines between thought, emotion, movement, and culture, proving that intelligence is not only logical or linguistic—it is also embodied, aesthetic, rhythmic, and deeply emotional.</w:t>
      </w:r>
    </w:p>
    <w:p w14:paraId="69DCAF10" w14:textId="77777777" w:rsidR="00C7088C" w:rsidRPr="00382A13" w:rsidRDefault="00C7088C" w:rsidP="00C7088C">
      <w:pPr>
        <w:spacing w:before="100" w:beforeAutospacing="1" w:after="100" w:afterAutospacing="1" w:line="240" w:lineRule="auto"/>
        <w:rPr>
          <w:rFonts w:ascii="Times New Roman" w:eastAsia="Times New Roman" w:hAnsi="Times New Roman" w:cs="Times New Roman"/>
          <w:kern w:val="0"/>
          <w14:ligatures w14:val="none"/>
        </w:rPr>
      </w:pPr>
      <w:r w:rsidRPr="00CA1E5B">
        <w:rPr>
          <w:rFonts w:ascii="Times New Roman" w:eastAsia="Times New Roman" w:hAnsi="Times New Roman" w:cs="Times New Roman"/>
          <w:kern w:val="0"/>
          <w14:ligatures w14:val="none"/>
        </w:rPr>
        <w:t xml:space="preserve">Through mudras, rasas, rhythms, and myths, Bharatanatyam becomes not just a performance but a </w:t>
      </w:r>
      <w:r w:rsidRPr="00CA1E5B">
        <w:rPr>
          <w:rFonts w:ascii="Times New Roman" w:eastAsia="Times New Roman" w:hAnsi="Times New Roman" w:cs="Times New Roman"/>
          <w:b/>
          <w:bCs/>
          <w:kern w:val="0"/>
          <w14:ligatures w14:val="none"/>
        </w:rPr>
        <w:t>cognitive rehearsal</w:t>
      </w:r>
      <w:r w:rsidRPr="00CA1E5B">
        <w:rPr>
          <w:rFonts w:ascii="Times New Roman" w:eastAsia="Times New Roman" w:hAnsi="Times New Roman" w:cs="Times New Roman"/>
          <w:kern w:val="0"/>
          <w14:ligatures w14:val="none"/>
        </w:rPr>
        <w:t xml:space="preserve">, a </w:t>
      </w:r>
      <w:r w:rsidRPr="00CA1E5B">
        <w:rPr>
          <w:rFonts w:ascii="Times New Roman" w:eastAsia="Times New Roman" w:hAnsi="Times New Roman" w:cs="Times New Roman"/>
          <w:b/>
          <w:bCs/>
          <w:kern w:val="0"/>
          <w14:ligatures w14:val="none"/>
        </w:rPr>
        <w:t>neural playground</w:t>
      </w:r>
      <w:r w:rsidRPr="00CA1E5B">
        <w:rPr>
          <w:rFonts w:ascii="Times New Roman" w:eastAsia="Times New Roman" w:hAnsi="Times New Roman" w:cs="Times New Roman"/>
          <w:kern w:val="0"/>
          <w14:ligatures w14:val="none"/>
        </w:rPr>
        <w:t xml:space="preserve">, and a </w:t>
      </w:r>
      <w:r w:rsidRPr="00CA1E5B">
        <w:rPr>
          <w:rFonts w:ascii="Times New Roman" w:eastAsia="Times New Roman" w:hAnsi="Times New Roman" w:cs="Times New Roman"/>
          <w:b/>
          <w:bCs/>
          <w:kern w:val="0"/>
          <w14:ligatures w14:val="none"/>
        </w:rPr>
        <w:t>sacred epistemology</w:t>
      </w:r>
      <w:r w:rsidRPr="00CA1E5B">
        <w:rPr>
          <w:rFonts w:ascii="Times New Roman" w:eastAsia="Times New Roman" w:hAnsi="Times New Roman" w:cs="Times New Roman"/>
          <w:kern w:val="0"/>
          <w14:ligatures w14:val="none"/>
        </w:rPr>
        <w:t xml:space="preserve">. In it, we find a compelling argument for the arts as valid forms of </w:t>
      </w:r>
      <w:r w:rsidRPr="00CA1E5B">
        <w:rPr>
          <w:rFonts w:ascii="Times New Roman" w:eastAsia="Times New Roman" w:hAnsi="Times New Roman" w:cs="Times New Roman"/>
          <w:b/>
          <w:bCs/>
          <w:kern w:val="0"/>
          <w14:ligatures w14:val="none"/>
        </w:rPr>
        <w:t>cognitive inquiry</w:t>
      </w:r>
      <w:r w:rsidRPr="00CA1E5B">
        <w:rPr>
          <w:rFonts w:ascii="Times New Roman" w:eastAsia="Times New Roman" w:hAnsi="Times New Roman" w:cs="Times New Roman"/>
          <w:kern w:val="0"/>
          <w14:ligatures w14:val="none"/>
        </w:rPr>
        <w:t>, equally rigorous as scientific experimentation, and often more expansive in their truths.</w:t>
      </w:r>
    </w:p>
    <w:p w14:paraId="7DDC6FD5" w14:textId="77777777" w:rsidR="00C7088C" w:rsidRPr="00D61256" w:rsidRDefault="00C7088C" w:rsidP="00D61256">
      <w:pPr>
        <w:rPr>
          <w:rFonts w:ascii="Times New Roman" w:hAnsi="Times New Roman" w:cs="Times New Roman"/>
        </w:rPr>
      </w:pPr>
    </w:p>
    <w:p w14:paraId="29E3A39E" w14:textId="77777777" w:rsidR="00D61256" w:rsidRPr="00D61256" w:rsidRDefault="00D61256" w:rsidP="00D61256">
      <w:pPr>
        <w:rPr>
          <w:rFonts w:ascii="Times New Roman" w:hAnsi="Times New Roman" w:cs="Times New Roman"/>
        </w:rPr>
      </w:pPr>
    </w:p>
    <w:p w14:paraId="1D08A417" w14:textId="77777777" w:rsidR="00D61256" w:rsidRPr="00D61256" w:rsidRDefault="00D61256" w:rsidP="00D61256">
      <w:pPr>
        <w:rPr>
          <w:rFonts w:ascii="Times New Roman" w:hAnsi="Times New Roman" w:cs="Times New Roman"/>
        </w:rPr>
      </w:pPr>
      <w:r w:rsidRPr="00D61256">
        <w:rPr>
          <w:rFonts w:ascii="Times New Roman" w:hAnsi="Times New Roman" w:cs="Times New Roman"/>
        </w:rPr>
        <w:t>---</w:t>
      </w:r>
    </w:p>
    <w:p w14:paraId="6F8BC8F7" w14:textId="77777777" w:rsidR="00D61256" w:rsidRPr="00D61256" w:rsidRDefault="00D61256" w:rsidP="00D61256">
      <w:pPr>
        <w:rPr>
          <w:rFonts w:ascii="Times New Roman" w:hAnsi="Times New Roman" w:cs="Times New Roman"/>
        </w:rPr>
      </w:pPr>
    </w:p>
    <w:p w14:paraId="0145F2CC" w14:textId="77777777" w:rsidR="002868DA" w:rsidRPr="005F24ED" w:rsidRDefault="002868DA" w:rsidP="002868DA">
      <w:pPr>
        <w:rPr>
          <w:rFonts w:ascii="Times New Roman" w:hAnsi="Times New Roman" w:cs="Times New Roman"/>
          <w:b/>
          <w:bCs/>
          <w:sz w:val="27"/>
          <w:szCs w:val="27"/>
        </w:rPr>
      </w:pPr>
      <w:r w:rsidRPr="005F24ED">
        <w:rPr>
          <w:rFonts w:ascii="Times New Roman" w:hAnsi="Times New Roman" w:cs="Times New Roman"/>
          <w:b/>
          <w:bCs/>
          <w:sz w:val="27"/>
          <w:szCs w:val="27"/>
        </w:rPr>
        <w:t>Works Cited</w:t>
      </w:r>
    </w:p>
    <w:p w14:paraId="73802910" w14:textId="77777777" w:rsidR="002868DA" w:rsidRPr="00B732AE" w:rsidRDefault="002868DA" w:rsidP="002868DA">
      <w:pPr>
        <w:rPr>
          <w:rFonts w:ascii="Times New Roman" w:hAnsi="Times New Roman" w:cs="Times New Roman"/>
        </w:rPr>
      </w:pPr>
    </w:p>
    <w:p w14:paraId="16B44A6B"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Bialystok, Ellen. *Bilingualism and Executive Function: The Role of Attention*. Cambridge University Press, 2015.  </w:t>
      </w:r>
    </w:p>
    <w:p w14:paraId="1D97B6C7" w14:textId="77777777" w:rsidR="002868DA" w:rsidRPr="00B732AE" w:rsidRDefault="002868DA" w:rsidP="002868DA">
      <w:pPr>
        <w:rPr>
          <w:rFonts w:ascii="Times New Roman" w:hAnsi="Times New Roman" w:cs="Times New Roman"/>
        </w:rPr>
      </w:pPr>
    </w:p>
    <w:p w14:paraId="604BA3D8"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Gallese, Vittorio. "The Roots of Empathy: The Shared Manifold Hypothesis and the Neural Basis of Intersubjectivity." *Psychopathology*, vol. 36, no. 4, 2003, pp. 171–180.  </w:t>
      </w:r>
    </w:p>
    <w:p w14:paraId="50D96E1C" w14:textId="77777777" w:rsidR="002868DA" w:rsidRPr="00B732AE" w:rsidRDefault="002868DA" w:rsidP="002868DA">
      <w:pPr>
        <w:rPr>
          <w:rFonts w:ascii="Times New Roman" w:hAnsi="Times New Roman" w:cs="Times New Roman"/>
        </w:rPr>
      </w:pPr>
    </w:p>
    <w:p w14:paraId="4061FD71"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Goleman, Daniel. *Emotional Intelligence: Why It Can Matter More Than IQ*. Bantam Books, 1995.  </w:t>
      </w:r>
    </w:p>
    <w:p w14:paraId="0A44A6A7" w14:textId="77777777" w:rsidR="002868DA" w:rsidRPr="00B732AE" w:rsidRDefault="002868DA" w:rsidP="002868DA">
      <w:pPr>
        <w:rPr>
          <w:rFonts w:ascii="Times New Roman" w:hAnsi="Times New Roman" w:cs="Times New Roman"/>
        </w:rPr>
      </w:pPr>
    </w:p>
    <w:p w14:paraId="06BA1CE7" w14:textId="77777777" w:rsidR="002868DA" w:rsidRPr="00B732AE" w:rsidRDefault="002868DA" w:rsidP="002868DA">
      <w:pPr>
        <w:rPr>
          <w:rFonts w:ascii="Times New Roman" w:hAnsi="Times New Roman" w:cs="Times New Roman"/>
        </w:rPr>
      </w:pPr>
      <w:proofErr w:type="spellStart"/>
      <w:r w:rsidRPr="00B732AE">
        <w:rPr>
          <w:rFonts w:ascii="Times New Roman" w:hAnsi="Times New Roman" w:cs="Times New Roman"/>
        </w:rPr>
        <w:t>Haitharaju</w:t>
      </w:r>
      <w:proofErr w:type="spellEnd"/>
      <w:r w:rsidRPr="00B732AE">
        <w:rPr>
          <w:rFonts w:ascii="Times New Roman" w:hAnsi="Times New Roman" w:cs="Times New Roman"/>
        </w:rPr>
        <w:t xml:space="preserve">, S., et al. "Neural Correlates of Gestural Semantics in Bharatanatyam: An fMRI Study." *Journal of Cognitive Neuroscience*, vol. 34, no. 5, 2022, pp. 789–801.  </w:t>
      </w:r>
    </w:p>
    <w:p w14:paraId="2CF3814B" w14:textId="77777777" w:rsidR="002868DA" w:rsidRPr="00B732AE" w:rsidRDefault="002868DA" w:rsidP="002868DA">
      <w:pPr>
        <w:rPr>
          <w:rFonts w:ascii="Times New Roman" w:hAnsi="Times New Roman" w:cs="Times New Roman"/>
        </w:rPr>
      </w:pPr>
    </w:p>
    <w:p w14:paraId="14B3D6A4" w14:textId="77777777" w:rsidR="002868DA" w:rsidRPr="00B732AE" w:rsidRDefault="002868DA" w:rsidP="002868DA">
      <w:pPr>
        <w:rPr>
          <w:rFonts w:ascii="Times New Roman" w:hAnsi="Times New Roman" w:cs="Times New Roman"/>
        </w:rPr>
      </w:pPr>
      <w:proofErr w:type="spellStart"/>
      <w:r w:rsidRPr="00B732AE">
        <w:rPr>
          <w:rFonts w:ascii="Times New Roman" w:hAnsi="Times New Roman" w:cs="Times New Roman"/>
        </w:rPr>
        <w:t>Hänggi</w:t>
      </w:r>
      <w:proofErr w:type="spellEnd"/>
      <w:r w:rsidRPr="00B732AE">
        <w:rPr>
          <w:rFonts w:ascii="Times New Roman" w:hAnsi="Times New Roman" w:cs="Times New Roman"/>
        </w:rPr>
        <w:t xml:space="preserve">, Jürgen, et al. "Structural Neuroplasticity in the Sensorimotor Network of Professional Ballet Dancers." *Human Brain Mapping*, vol. 31, no. 8, 2010, pp. 1196–1206.  </w:t>
      </w:r>
    </w:p>
    <w:p w14:paraId="523E147D" w14:textId="77777777" w:rsidR="002868DA" w:rsidRPr="00B732AE" w:rsidRDefault="002868DA" w:rsidP="002868DA">
      <w:pPr>
        <w:rPr>
          <w:rFonts w:ascii="Times New Roman" w:hAnsi="Times New Roman" w:cs="Times New Roman"/>
        </w:rPr>
      </w:pPr>
    </w:p>
    <w:p w14:paraId="32A4E11E"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Iacoboni, Marco, et al. "Cultural Tuning of the Mirror Neuron System: A Cross-Cultural fMRI Study." *Social Cognitive and Affective Neuroscience*, vol. 16, no. 6, 2021, pp. 609–621.  </w:t>
      </w:r>
    </w:p>
    <w:p w14:paraId="7A5D1057" w14:textId="77777777" w:rsidR="002868DA" w:rsidRPr="00B732AE" w:rsidRDefault="002868DA" w:rsidP="002868DA">
      <w:pPr>
        <w:rPr>
          <w:rFonts w:ascii="Times New Roman" w:hAnsi="Times New Roman" w:cs="Times New Roman"/>
        </w:rPr>
      </w:pPr>
    </w:p>
    <w:p w14:paraId="5F48CEA4" w14:textId="77777777" w:rsidR="002868DA" w:rsidRPr="00B732AE" w:rsidRDefault="002868DA" w:rsidP="002868DA">
      <w:pPr>
        <w:rPr>
          <w:rFonts w:ascii="Times New Roman" w:hAnsi="Times New Roman" w:cs="Times New Roman"/>
        </w:rPr>
      </w:pPr>
      <w:proofErr w:type="spellStart"/>
      <w:r w:rsidRPr="00B732AE">
        <w:rPr>
          <w:rFonts w:ascii="Times New Roman" w:hAnsi="Times New Roman" w:cs="Times New Roman"/>
        </w:rPr>
        <w:t>Kattenstroth</w:t>
      </w:r>
      <w:proofErr w:type="spellEnd"/>
      <w:r w:rsidRPr="00B732AE">
        <w:rPr>
          <w:rFonts w:ascii="Times New Roman" w:hAnsi="Times New Roman" w:cs="Times New Roman"/>
        </w:rPr>
        <w:t xml:space="preserve">, Jan-Christoph, et al. "Six Months of Dance Intervention Enhances Postural, Sensorimotor, and Cognitive Performance in Elderly Without Affecting Cardio-Respiratory Functions." *Frontiers in Aging Neuroscience*, vol. 5, 2013, pp. 1–16.  </w:t>
      </w:r>
    </w:p>
    <w:p w14:paraId="072C5F4B" w14:textId="77777777" w:rsidR="002868DA" w:rsidRPr="00B732AE" w:rsidRDefault="002868DA" w:rsidP="002868DA">
      <w:pPr>
        <w:rPr>
          <w:rFonts w:ascii="Times New Roman" w:hAnsi="Times New Roman" w:cs="Times New Roman"/>
        </w:rPr>
      </w:pPr>
    </w:p>
    <w:p w14:paraId="4C50816F"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Koelsch, Stefan, et al. "The Impact of Aesthetic Evaluation and Physical Ability on Dance Perception." *Frontiers in Human Neuroscience*, vol. 12, 2018, pp. 1–14.  </w:t>
      </w:r>
    </w:p>
    <w:p w14:paraId="47825A36" w14:textId="77777777" w:rsidR="002868DA" w:rsidRPr="00B732AE" w:rsidRDefault="002868DA" w:rsidP="002868DA">
      <w:pPr>
        <w:rPr>
          <w:rFonts w:ascii="Times New Roman" w:hAnsi="Times New Roman" w:cs="Times New Roman"/>
        </w:rPr>
      </w:pPr>
    </w:p>
    <w:p w14:paraId="6ECBB01E"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Lakoff, George, and Mark Johnson. *Philosophy in the Flesh: The Embodied Mind and Its Challenge to Western Thought*. Basic Books, 1999.  </w:t>
      </w:r>
    </w:p>
    <w:p w14:paraId="17305B53" w14:textId="77777777" w:rsidR="002868DA" w:rsidRPr="00B732AE" w:rsidRDefault="002868DA" w:rsidP="002868DA">
      <w:pPr>
        <w:rPr>
          <w:rFonts w:ascii="Times New Roman" w:hAnsi="Times New Roman" w:cs="Times New Roman"/>
        </w:rPr>
      </w:pPr>
    </w:p>
    <w:p w14:paraId="352C2C56"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McNeill, David. *Hand and Mind: What Gestures Reveal About Thought*. University of Chicago Press, 1992.  </w:t>
      </w:r>
    </w:p>
    <w:p w14:paraId="7AADA705" w14:textId="77777777" w:rsidR="002868DA" w:rsidRPr="00B732AE" w:rsidRDefault="002868DA" w:rsidP="002868DA">
      <w:pPr>
        <w:rPr>
          <w:rFonts w:ascii="Times New Roman" w:hAnsi="Times New Roman" w:cs="Times New Roman"/>
        </w:rPr>
      </w:pPr>
    </w:p>
    <w:p w14:paraId="72ED6B77"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Porges, Stephen W. *The Polyvagal Theory: Neurophysiological Foundations of Emotions, Attachment, Communication, and Self-Regulation*. W.W. Norton, 2011.  </w:t>
      </w:r>
    </w:p>
    <w:p w14:paraId="1940AFCA" w14:textId="77777777" w:rsidR="002868DA" w:rsidRPr="00B732AE" w:rsidRDefault="002868DA" w:rsidP="002868DA">
      <w:pPr>
        <w:rPr>
          <w:rFonts w:ascii="Times New Roman" w:hAnsi="Times New Roman" w:cs="Times New Roman"/>
        </w:rPr>
      </w:pPr>
    </w:p>
    <w:p w14:paraId="61A4A016"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Sharda, Megha, et al. "Dance and Neuroplasticity: A Systematic Review." *Neuroscience &amp; Biobehavioral Reviews*, vol. 147, 2023, pp. 1–22.  </w:t>
      </w:r>
    </w:p>
    <w:p w14:paraId="039E65AE" w14:textId="77777777" w:rsidR="002868DA" w:rsidRPr="00B732AE" w:rsidRDefault="002868DA" w:rsidP="002868DA">
      <w:pPr>
        <w:rPr>
          <w:rFonts w:ascii="Times New Roman" w:hAnsi="Times New Roman" w:cs="Times New Roman"/>
        </w:rPr>
      </w:pPr>
    </w:p>
    <w:p w14:paraId="6EAF7716"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Thayer, Julian F., and Richard D. Lane. "Claude Bernard and the Heart–Brain Connection: Further Elaboration of a Model of Neurovisceral Integration." *Neuroscience &amp; Biobehavioral Reviews*, vol. 33, no. 2, 2009, pp. 81–88.  </w:t>
      </w:r>
    </w:p>
    <w:p w14:paraId="5C786DA4" w14:textId="77777777" w:rsidR="002868DA" w:rsidRPr="00B732AE" w:rsidRDefault="002868DA" w:rsidP="002868DA">
      <w:pPr>
        <w:rPr>
          <w:rFonts w:ascii="Times New Roman" w:hAnsi="Times New Roman" w:cs="Times New Roman"/>
        </w:rPr>
      </w:pPr>
    </w:p>
    <w:p w14:paraId="13132717"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Varela, Francisco J., et al. *The Embodied Mind: Cognitive Science and Human Experience*. MIT Press, 1991.  </w:t>
      </w:r>
    </w:p>
    <w:p w14:paraId="60CF5028" w14:textId="77777777" w:rsidR="002868DA" w:rsidRDefault="002868DA" w:rsidP="002868DA">
      <w:pPr>
        <w:rPr>
          <w:rFonts w:ascii="Times New Roman" w:hAnsi="Times New Roman" w:cs="Times New Roman"/>
        </w:rPr>
      </w:pPr>
    </w:p>
    <w:p w14:paraId="0C42EE38" w14:textId="77777777" w:rsidR="002868DA" w:rsidRPr="00B732AE" w:rsidRDefault="002868DA" w:rsidP="002868DA">
      <w:pPr>
        <w:rPr>
          <w:rFonts w:ascii="Times New Roman" w:hAnsi="Times New Roman" w:cs="Times New Roman"/>
        </w:rPr>
      </w:pPr>
      <w:r w:rsidRPr="00B732AE">
        <w:rPr>
          <w:rFonts w:ascii="Times New Roman" w:hAnsi="Times New Roman" w:cs="Times New Roman"/>
        </w:rPr>
        <w:t xml:space="preserve">Wilson, Margaret. "Six Views of Embodied Cognition." *Psychonomic Bulletin &amp; Review*, vol. 9, no. 4, 2002, pp. 625–636.  </w:t>
      </w:r>
    </w:p>
    <w:p w14:paraId="7EB98C18" w14:textId="77777777" w:rsidR="002868DA" w:rsidRDefault="002868DA" w:rsidP="002868DA">
      <w:pPr>
        <w:rPr>
          <w:rFonts w:ascii="Times New Roman" w:hAnsi="Times New Roman" w:cs="Times New Roman"/>
        </w:rPr>
      </w:pPr>
    </w:p>
    <w:p w14:paraId="2F4065F0" w14:textId="77777777" w:rsidR="002868DA" w:rsidRPr="00D61256" w:rsidRDefault="002868DA" w:rsidP="002868DA">
      <w:pPr>
        <w:rPr>
          <w:rFonts w:ascii="Times New Roman" w:hAnsi="Times New Roman" w:cs="Times New Roman"/>
        </w:rPr>
      </w:pPr>
      <w:proofErr w:type="spellStart"/>
      <w:r w:rsidRPr="00D61256">
        <w:rPr>
          <w:rFonts w:ascii="Times New Roman" w:hAnsi="Times New Roman" w:cs="Times New Roman"/>
        </w:rPr>
        <w:t>Emmorey</w:t>
      </w:r>
      <w:proofErr w:type="spellEnd"/>
      <w:r w:rsidRPr="00D61256">
        <w:rPr>
          <w:rFonts w:ascii="Times New Roman" w:hAnsi="Times New Roman" w:cs="Times New Roman"/>
        </w:rPr>
        <w:t xml:space="preserve">, Karen. *Language, Cognition, and the Brain: Insights from Sign Language Research*. Psychology Press, 2002.  </w:t>
      </w:r>
    </w:p>
    <w:p w14:paraId="54936D58" w14:textId="77777777" w:rsidR="002868DA" w:rsidRPr="00D61256" w:rsidRDefault="002868DA" w:rsidP="002868DA">
      <w:pPr>
        <w:rPr>
          <w:rFonts w:ascii="Times New Roman" w:hAnsi="Times New Roman" w:cs="Times New Roman"/>
        </w:rPr>
      </w:pPr>
      <w:r w:rsidRPr="00D61256">
        <w:rPr>
          <w:rFonts w:ascii="Times New Roman" w:hAnsi="Times New Roman" w:cs="Times New Roman"/>
        </w:rPr>
        <w:t xml:space="preserve">Fadiga, Luciano, et al. "Broca’s Area in Language, Action, and Music." *Annals of the New York Academy of Sciences*, vol. 1169, 2009, pp. 448–458.  </w:t>
      </w:r>
    </w:p>
    <w:p w14:paraId="36D6BBE9" w14:textId="77777777" w:rsidR="002868DA" w:rsidRDefault="002868DA" w:rsidP="002868DA">
      <w:pPr>
        <w:rPr>
          <w:rFonts w:ascii="Times New Roman" w:hAnsi="Times New Roman" w:cs="Times New Roman"/>
        </w:rPr>
      </w:pPr>
    </w:p>
    <w:p w14:paraId="66F3A58B" w14:textId="77777777" w:rsidR="002868DA" w:rsidRPr="00D61256" w:rsidRDefault="002868DA" w:rsidP="002868DA">
      <w:pPr>
        <w:rPr>
          <w:rFonts w:ascii="Times New Roman" w:hAnsi="Times New Roman" w:cs="Times New Roman"/>
        </w:rPr>
      </w:pPr>
      <w:r w:rsidRPr="00D61256">
        <w:rPr>
          <w:rFonts w:ascii="Times New Roman" w:hAnsi="Times New Roman" w:cs="Times New Roman"/>
        </w:rPr>
        <w:t xml:space="preserve">Kotz, Sonja A., et al. "The Role of the Cerebellum in Rhythmic Timing in Language." *Cerebellum*, vol. 17, 2018, pp. 1–9.  </w:t>
      </w:r>
    </w:p>
    <w:p w14:paraId="2C22C5C6" w14:textId="77777777" w:rsidR="002868DA" w:rsidRDefault="002868DA" w:rsidP="002868DA">
      <w:pPr>
        <w:rPr>
          <w:rFonts w:ascii="Times New Roman" w:hAnsi="Times New Roman" w:cs="Times New Roman"/>
        </w:rPr>
      </w:pPr>
    </w:p>
    <w:p w14:paraId="4D0A1592" w14:textId="77777777" w:rsidR="002868DA" w:rsidRPr="00D61256" w:rsidRDefault="002868DA" w:rsidP="002868DA">
      <w:pPr>
        <w:rPr>
          <w:rFonts w:ascii="Times New Roman" w:hAnsi="Times New Roman" w:cs="Times New Roman"/>
        </w:rPr>
      </w:pPr>
      <w:r w:rsidRPr="00D61256">
        <w:rPr>
          <w:rFonts w:ascii="Times New Roman" w:hAnsi="Times New Roman" w:cs="Times New Roman"/>
        </w:rPr>
        <w:t xml:space="preserve">Mahendran, Nirmala, et al. "Dance Therapy for Aphasia in Stroke Survivors." *Journal of Neurologic Physical Therapy*, vol. 44, 2020, pp. 235–242.  </w:t>
      </w:r>
    </w:p>
    <w:p w14:paraId="16EA574F" w14:textId="77777777" w:rsidR="002868DA" w:rsidRDefault="002868DA" w:rsidP="002868DA">
      <w:pPr>
        <w:rPr>
          <w:rFonts w:ascii="Times New Roman" w:hAnsi="Times New Roman" w:cs="Times New Roman"/>
        </w:rPr>
      </w:pPr>
    </w:p>
    <w:p w14:paraId="3724404D" w14:textId="77777777" w:rsidR="002868DA" w:rsidRPr="00D61256" w:rsidRDefault="002868DA" w:rsidP="002868DA">
      <w:pPr>
        <w:rPr>
          <w:rFonts w:ascii="Times New Roman" w:hAnsi="Times New Roman" w:cs="Times New Roman"/>
        </w:rPr>
      </w:pPr>
      <w:r w:rsidRPr="00D61256">
        <w:rPr>
          <w:rFonts w:ascii="Times New Roman" w:hAnsi="Times New Roman" w:cs="Times New Roman"/>
        </w:rPr>
        <w:lastRenderedPageBreak/>
        <w:t xml:space="preserve">Tulving, Endel, and Donald M. Thomson. "Encoding Specificity and Retrieval Processes in Episodic Memory." *Psychological Review*, vol. 80, 1973, pp. 352–373.  </w:t>
      </w:r>
    </w:p>
    <w:p w14:paraId="0583A4E2" w14:textId="77777777" w:rsidR="00382A13" w:rsidRPr="00B732AE" w:rsidRDefault="00382A13" w:rsidP="00382A13">
      <w:pPr>
        <w:rPr>
          <w:rFonts w:ascii="Times New Roman" w:hAnsi="Times New Roman" w:cs="Times New Roman"/>
        </w:rPr>
      </w:pPr>
    </w:p>
    <w:p w14:paraId="404CB047" w14:textId="18B7058A" w:rsidR="00133000" w:rsidRPr="00B732AE" w:rsidRDefault="00133000" w:rsidP="00382A13">
      <w:pPr>
        <w:rPr>
          <w:rFonts w:ascii="Times New Roman" w:hAnsi="Times New Roman" w:cs="Times New Roman"/>
        </w:rPr>
      </w:pPr>
    </w:p>
    <w:sectPr w:rsidR="00133000" w:rsidRPr="00B732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6D92"/>
    <w:multiLevelType w:val="multilevel"/>
    <w:tmpl w:val="8DD4A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222695"/>
    <w:multiLevelType w:val="multilevel"/>
    <w:tmpl w:val="D692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123A99"/>
    <w:multiLevelType w:val="multilevel"/>
    <w:tmpl w:val="93908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2D622D"/>
    <w:multiLevelType w:val="multilevel"/>
    <w:tmpl w:val="29866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7A2E21"/>
    <w:multiLevelType w:val="multilevel"/>
    <w:tmpl w:val="E664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3168854">
    <w:abstractNumId w:val="4"/>
  </w:num>
  <w:num w:numId="2" w16cid:durableId="718093736">
    <w:abstractNumId w:val="2"/>
  </w:num>
  <w:num w:numId="3" w16cid:durableId="1815560827">
    <w:abstractNumId w:val="0"/>
  </w:num>
  <w:num w:numId="4" w16cid:durableId="1261137941">
    <w:abstractNumId w:val="3"/>
  </w:num>
  <w:num w:numId="5" w16cid:durableId="7939849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19D"/>
    <w:rsid w:val="00066663"/>
    <w:rsid w:val="000C5AEF"/>
    <w:rsid w:val="00133000"/>
    <w:rsid w:val="00133BA9"/>
    <w:rsid w:val="0015563C"/>
    <w:rsid w:val="001729A0"/>
    <w:rsid w:val="001C24FD"/>
    <w:rsid w:val="001D1590"/>
    <w:rsid w:val="002868DA"/>
    <w:rsid w:val="0031375C"/>
    <w:rsid w:val="00382A13"/>
    <w:rsid w:val="003A4DFC"/>
    <w:rsid w:val="003D719D"/>
    <w:rsid w:val="0046024C"/>
    <w:rsid w:val="005F24ED"/>
    <w:rsid w:val="00612C90"/>
    <w:rsid w:val="0069584D"/>
    <w:rsid w:val="006F2354"/>
    <w:rsid w:val="00705F30"/>
    <w:rsid w:val="008608BF"/>
    <w:rsid w:val="0086329F"/>
    <w:rsid w:val="008E4AD3"/>
    <w:rsid w:val="0092217D"/>
    <w:rsid w:val="009B1911"/>
    <w:rsid w:val="00AE6283"/>
    <w:rsid w:val="00B33B3E"/>
    <w:rsid w:val="00B732AE"/>
    <w:rsid w:val="00C7088C"/>
    <w:rsid w:val="00CA1691"/>
    <w:rsid w:val="00CA1E5B"/>
    <w:rsid w:val="00CC70E0"/>
    <w:rsid w:val="00D023BC"/>
    <w:rsid w:val="00D61256"/>
    <w:rsid w:val="00E3050C"/>
    <w:rsid w:val="00E806FB"/>
    <w:rsid w:val="00F77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75D08C18"/>
  <w15:chartTrackingRefBased/>
  <w15:docId w15:val="{76E6C627-3BA2-FE45-A328-C34D3646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7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7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D7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7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D7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D7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7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7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7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7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D7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19D"/>
    <w:rPr>
      <w:rFonts w:eastAsiaTheme="majorEastAsia" w:cstheme="majorBidi"/>
      <w:color w:val="272727" w:themeColor="text1" w:themeTint="D8"/>
    </w:rPr>
  </w:style>
  <w:style w:type="paragraph" w:styleId="Title">
    <w:name w:val="Title"/>
    <w:basedOn w:val="Normal"/>
    <w:next w:val="Normal"/>
    <w:link w:val="TitleChar"/>
    <w:uiPriority w:val="10"/>
    <w:qFormat/>
    <w:rsid w:val="003D7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7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7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19D"/>
    <w:pPr>
      <w:spacing w:before="160"/>
      <w:jc w:val="center"/>
    </w:pPr>
    <w:rPr>
      <w:i/>
      <w:iCs/>
      <w:color w:val="404040" w:themeColor="text1" w:themeTint="BF"/>
    </w:rPr>
  </w:style>
  <w:style w:type="character" w:customStyle="1" w:styleId="QuoteChar">
    <w:name w:val="Quote Char"/>
    <w:basedOn w:val="DefaultParagraphFont"/>
    <w:link w:val="Quote"/>
    <w:uiPriority w:val="29"/>
    <w:rsid w:val="003D719D"/>
    <w:rPr>
      <w:i/>
      <w:iCs/>
      <w:color w:val="404040" w:themeColor="text1" w:themeTint="BF"/>
    </w:rPr>
  </w:style>
  <w:style w:type="paragraph" w:styleId="ListParagraph">
    <w:name w:val="List Paragraph"/>
    <w:basedOn w:val="Normal"/>
    <w:uiPriority w:val="34"/>
    <w:qFormat/>
    <w:rsid w:val="003D719D"/>
    <w:pPr>
      <w:ind w:left="720"/>
      <w:contextualSpacing/>
    </w:pPr>
  </w:style>
  <w:style w:type="character" w:styleId="IntenseEmphasis">
    <w:name w:val="Intense Emphasis"/>
    <w:basedOn w:val="DefaultParagraphFont"/>
    <w:uiPriority w:val="21"/>
    <w:qFormat/>
    <w:rsid w:val="003D719D"/>
    <w:rPr>
      <w:i/>
      <w:iCs/>
      <w:color w:val="2F5496" w:themeColor="accent1" w:themeShade="BF"/>
    </w:rPr>
  </w:style>
  <w:style w:type="paragraph" w:styleId="IntenseQuote">
    <w:name w:val="Intense Quote"/>
    <w:basedOn w:val="Normal"/>
    <w:next w:val="Normal"/>
    <w:link w:val="IntenseQuoteChar"/>
    <w:uiPriority w:val="30"/>
    <w:qFormat/>
    <w:rsid w:val="003D7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719D"/>
    <w:rPr>
      <w:i/>
      <w:iCs/>
      <w:color w:val="2F5496" w:themeColor="accent1" w:themeShade="BF"/>
    </w:rPr>
  </w:style>
  <w:style w:type="character" w:styleId="IntenseReference">
    <w:name w:val="Intense Reference"/>
    <w:basedOn w:val="DefaultParagraphFont"/>
    <w:uiPriority w:val="32"/>
    <w:qFormat/>
    <w:rsid w:val="003D719D"/>
    <w:rPr>
      <w:b/>
      <w:bCs/>
      <w:smallCaps/>
      <w:color w:val="2F5496" w:themeColor="accent1" w:themeShade="BF"/>
      <w:spacing w:val="5"/>
    </w:rPr>
  </w:style>
  <w:style w:type="character" w:styleId="Strong">
    <w:name w:val="Strong"/>
    <w:basedOn w:val="DefaultParagraphFont"/>
    <w:uiPriority w:val="22"/>
    <w:qFormat/>
    <w:rsid w:val="003D719D"/>
    <w:rPr>
      <w:b/>
      <w:bCs/>
    </w:rPr>
  </w:style>
  <w:style w:type="character" w:styleId="Emphasis">
    <w:name w:val="Emphasis"/>
    <w:basedOn w:val="DefaultParagraphFont"/>
    <w:uiPriority w:val="20"/>
    <w:qFormat/>
    <w:rsid w:val="003D719D"/>
    <w:rPr>
      <w:i/>
      <w:iCs/>
    </w:rPr>
  </w:style>
  <w:style w:type="paragraph" w:styleId="NormalWeb">
    <w:name w:val="Normal (Web)"/>
    <w:basedOn w:val="Normal"/>
    <w:uiPriority w:val="99"/>
    <w:semiHidden/>
    <w:unhideWhenUsed/>
    <w:rsid w:val="003D719D"/>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ds-markdown-paragraph">
    <w:name w:val="ds-markdown-paragraph"/>
    <w:basedOn w:val="Normal"/>
    <w:rsid w:val="0092217D"/>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24954">
      <w:bodyDiv w:val="1"/>
      <w:marLeft w:val="0"/>
      <w:marRight w:val="0"/>
      <w:marTop w:val="0"/>
      <w:marBottom w:val="0"/>
      <w:divBdr>
        <w:top w:val="none" w:sz="0" w:space="0" w:color="auto"/>
        <w:left w:val="none" w:sz="0" w:space="0" w:color="auto"/>
        <w:bottom w:val="none" w:sz="0" w:space="0" w:color="auto"/>
        <w:right w:val="none" w:sz="0" w:space="0" w:color="auto"/>
      </w:divBdr>
      <w:divsChild>
        <w:div w:id="1332027474">
          <w:marLeft w:val="0"/>
          <w:marRight w:val="0"/>
          <w:marTop w:val="0"/>
          <w:marBottom w:val="0"/>
          <w:divBdr>
            <w:top w:val="none" w:sz="0" w:space="0" w:color="auto"/>
            <w:left w:val="none" w:sz="0" w:space="0" w:color="auto"/>
            <w:bottom w:val="none" w:sz="0" w:space="0" w:color="auto"/>
            <w:right w:val="none" w:sz="0" w:space="0" w:color="auto"/>
          </w:divBdr>
        </w:div>
        <w:div w:id="28915264">
          <w:marLeft w:val="0"/>
          <w:marRight w:val="0"/>
          <w:marTop w:val="0"/>
          <w:marBottom w:val="0"/>
          <w:divBdr>
            <w:top w:val="none" w:sz="0" w:space="0" w:color="auto"/>
            <w:left w:val="none" w:sz="0" w:space="0" w:color="auto"/>
            <w:bottom w:val="none" w:sz="0" w:space="0" w:color="auto"/>
            <w:right w:val="none" w:sz="0" w:space="0" w:color="auto"/>
          </w:divBdr>
        </w:div>
        <w:div w:id="1577277333">
          <w:marLeft w:val="0"/>
          <w:marRight w:val="0"/>
          <w:marTop w:val="0"/>
          <w:marBottom w:val="0"/>
          <w:divBdr>
            <w:top w:val="none" w:sz="0" w:space="0" w:color="auto"/>
            <w:left w:val="none" w:sz="0" w:space="0" w:color="auto"/>
            <w:bottom w:val="none" w:sz="0" w:space="0" w:color="auto"/>
            <w:right w:val="none" w:sz="0" w:space="0" w:color="auto"/>
          </w:divBdr>
        </w:div>
        <w:div w:id="325012662">
          <w:marLeft w:val="0"/>
          <w:marRight w:val="0"/>
          <w:marTop w:val="0"/>
          <w:marBottom w:val="0"/>
          <w:divBdr>
            <w:top w:val="none" w:sz="0" w:space="0" w:color="auto"/>
            <w:left w:val="none" w:sz="0" w:space="0" w:color="auto"/>
            <w:bottom w:val="none" w:sz="0" w:space="0" w:color="auto"/>
            <w:right w:val="none" w:sz="0" w:space="0" w:color="auto"/>
          </w:divBdr>
        </w:div>
        <w:div w:id="2073766614">
          <w:marLeft w:val="0"/>
          <w:marRight w:val="0"/>
          <w:marTop w:val="0"/>
          <w:marBottom w:val="0"/>
          <w:divBdr>
            <w:top w:val="none" w:sz="0" w:space="0" w:color="auto"/>
            <w:left w:val="none" w:sz="0" w:space="0" w:color="auto"/>
            <w:bottom w:val="none" w:sz="0" w:space="0" w:color="auto"/>
            <w:right w:val="none" w:sz="0" w:space="0" w:color="auto"/>
          </w:divBdr>
        </w:div>
        <w:div w:id="2038851074">
          <w:marLeft w:val="0"/>
          <w:marRight w:val="0"/>
          <w:marTop w:val="0"/>
          <w:marBottom w:val="0"/>
          <w:divBdr>
            <w:top w:val="none" w:sz="0" w:space="0" w:color="auto"/>
            <w:left w:val="none" w:sz="0" w:space="0" w:color="auto"/>
            <w:bottom w:val="none" w:sz="0" w:space="0" w:color="auto"/>
            <w:right w:val="none" w:sz="0" w:space="0" w:color="auto"/>
          </w:divBdr>
        </w:div>
        <w:div w:id="1890192431">
          <w:marLeft w:val="0"/>
          <w:marRight w:val="0"/>
          <w:marTop w:val="0"/>
          <w:marBottom w:val="0"/>
          <w:divBdr>
            <w:top w:val="none" w:sz="0" w:space="0" w:color="auto"/>
            <w:left w:val="none" w:sz="0" w:space="0" w:color="auto"/>
            <w:bottom w:val="none" w:sz="0" w:space="0" w:color="auto"/>
            <w:right w:val="none" w:sz="0" w:space="0" w:color="auto"/>
          </w:divBdr>
        </w:div>
        <w:div w:id="2009016328">
          <w:marLeft w:val="0"/>
          <w:marRight w:val="0"/>
          <w:marTop w:val="0"/>
          <w:marBottom w:val="0"/>
          <w:divBdr>
            <w:top w:val="none" w:sz="0" w:space="0" w:color="auto"/>
            <w:left w:val="none" w:sz="0" w:space="0" w:color="auto"/>
            <w:bottom w:val="none" w:sz="0" w:space="0" w:color="auto"/>
            <w:right w:val="none" w:sz="0" w:space="0" w:color="auto"/>
          </w:divBdr>
        </w:div>
        <w:div w:id="1317340423">
          <w:marLeft w:val="0"/>
          <w:marRight w:val="0"/>
          <w:marTop w:val="0"/>
          <w:marBottom w:val="0"/>
          <w:divBdr>
            <w:top w:val="none" w:sz="0" w:space="0" w:color="auto"/>
            <w:left w:val="none" w:sz="0" w:space="0" w:color="auto"/>
            <w:bottom w:val="none" w:sz="0" w:space="0" w:color="auto"/>
            <w:right w:val="none" w:sz="0" w:space="0" w:color="auto"/>
          </w:divBdr>
        </w:div>
        <w:div w:id="1517114247">
          <w:marLeft w:val="0"/>
          <w:marRight w:val="0"/>
          <w:marTop w:val="0"/>
          <w:marBottom w:val="0"/>
          <w:divBdr>
            <w:top w:val="none" w:sz="0" w:space="0" w:color="auto"/>
            <w:left w:val="none" w:sz="0" w:space="0" w:color="auto"/>
            <w:bottom w:val="none" w:sz="0" w:space="0" w:color="auto"/>
            <w:right w:val="none" w:sz="0" w:space="0" w:color="auto"/>
          </w:divBdr>
        </w:div>
        <w:div w:id="2115129242">
          <w:marLeft w:val="0"/>
          <w:marRight w:val="0"/>
          <w:marTop w:val="0"/>
          <w:marBottom w:val="0"/>
          <w:divBdr>
            <w:top w:val="none" w:sz="0" w:space="0" w:color="auto"/>
            <w:left w:val="none" w:sz="0" w:space="0" w:color="auto"/>
            <w:bottom w:val="none" w:sz="0" w:space="0" w:color="auto"/>
            <w:right w:val="none" w:sz="0" w:space="0" w:color="auto"/>
          </w:divBdr>
        </w:div>
        <w:div w:id="1588732984">
          <w:marLeft w:val="0"/>
          <w:marRight w:val="0"/>
          <w:marTop w:val="0"/>
          <w:marBottom w:val="0"/>
          <w:divBdr>
            <w:top w:val="none" w:sz="0" w:space="0" w:color="auto"/>
            <w:left w:val="none" w:sz="0" w:space="0" w:color="auto"/>
            <w:bottom w:val="none" w:sz="0" w:space="0" w:color="auto"/>
            <w:right w:val="none" w:sz="0" w:space="0" w:color="auto"/>
          </w:divBdr>
        </w:div>
      </w:divsChild>
    </w:div>
    <w:div w:id="306319975">
      <w:bodyDiv w:val="1"/>
      <w:marLeft w:val="0"/>
      <w:marRight w:val="0"/>
      <w:marTop w:val="0"/>
      <w:marBottom w:val="0"/>
      <w:divBdr>
        <w:top w:val="none" w:sz="0" w:space="0" w:color="auto"/>
        <w:left w:val="none" w:sz="0" w:space="0" w:color="auto"/>
        <w:bottom w:val="none" w:sz="0" w:space="0" w:color="auto"/>
        <w:right w:val="none" w:sz="0" w:space="0" w:color="auto"/>
      </w:divBdr>
    </w:div>
    <w:div w:id="341123756">
      <w:bodyDiv w:val="1"/>
      <w:marLeft w:val="0"/>
      <w:marRight w:val="0"/>
      <w:marTop w:val="0"/>
      <w:marBottom w:val="0"/>
      <w:divBdr>
        <w:top w:val="none" w:sz="0" w:space="0" w:color="auto"/>
        <w:left w:val="none" w:sz="0" w:space="0" w:color="auto"/>
        <w:bottom w:val="none" w:sz="0" w:space="0" w:color="auto"/>
        <w:right w:val="none" w:sz="0" w:space="0" w:color="auto"/>
      </w:divBdr>
    </w:div>
    <w:div w:id="826746071">
      <w:bodyDiv w:val="1"/>
      <w:marLeft w:val="0"/>
      <w:marRight w:val="0"/>
      <w:marTop w:val="0"/>
      <w:marBottom w:val="0"/>
      <w:divBdr>
        <w:top w:val="none" w:sz="0" w:space="0" w:color="auto"/>
        <w:left w:val="none" w:sz="0" w:space="0" w:color="auto"/>
        <w:bottom w:val="none" w:sz="0" w:space="0" w:color="auto"/>
        <w:right w:val="none" w:sz="0" w:space="0" w:color="auto"/>
      </w:divBdr>
    </w:div>
    <w:div w:id="900798576">
      <w:bodyDiv w:val="1"/>
      <w:marLeft w:val="0"/>
      <w:marRight w:val="0"/>
      <w:marTop w:val="0"/>
      <w:marBottom w:val="0"/>
      <w:divBdr>
        <w:top w:val="none" w:sz="0" w:space="0" w:color="auto"/>
        <w:left w:val="none" w:sz="0" w:space="0" w:color="auto"/>
        <w:bottom w:val="none" w:sz="0" w:space="0" w:color="auto"/>
        <w:right w:val="none" w:sz="0" w:space="0" w:color="auto"/>
      </w:divBdr>
    </w:div>
    <w:div w:id="1481726352">
      <w:bodyDiv w:val="1"/>
      <w:marLeft w:val="0"/>
      <w:marRight w:val="0"/>
      <w:marTop w:val="0"/>
      <w:marBottom w:val="0"/>
      <w:divBdr>
        <w:top w:val="none" w:sz="0" w:space="0" w:color="auto"/>
        <w:left w:val="none" w:sz="0" w:space="0" w:color="auto"/>
        <w:bottom w:val="none" w:sz="0" w:space="0" w:color="auto"/>
        <w:right w:val="none" w:sz="0" w:space="0" w:color="auto"/>
      </w:divBdr>
    </w:div>
    <w:div w:id="194546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3677</Words>
  <Characters>20960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Sheryl Wadehra</dc:creator>
  <cp:keywords/>
  <dc:description/>
  <cp:lastModifiedBy>Sheryl Wadehra</cp:lastModifiedBy>
  <cp:revision>26</cp:revision>
  <dcterms:created xsi:type="dcterms:W3CDTF">2025-04-23T21:54:00Z</dcterms:created>
  <dcterms:modified xsi:type="dcterms:W3CDTF">2025-04-28T18:30:00Z</dcterms:modified>
</cp:coreProperties>
</file>